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ABE" w:rsidRPr="00B23CD6" w:rsidRDefault="00EB3ABE" w:rsidP="00B23CD6">
      <w:pPr>
        <w:pStyle w:val="NormalWeb"/>
        <w:spacing w:before="0" w:beforeAutospacing="0" w:after="0" w:afterAutospacing="0" w:line="480" w:lineRule="auto"/>
        <w:jc w:val="center"/>
        <w:rPr>
          <w:b/>
          <w:bCs/>
          <w:color w:val="000000"/>
        </w:rPr>
      </w:pPr>
      <w:bookmarkStart w:id="0" w:name="_GoBack"/>
      <w:bookmarkEnd w:id="0"/>
    </w:p>
    <w:p w:rsidR="00EB3ABE" w:rsidRPr="00B23CD6" w:rsidRDefault="00EB3ABE" w:rsidP="00B23CD6">
      <w:pPr>
        <w:pStyle w:val="NormalWeb"/>
        <w:spacing w:before="0" w:beforeAutospacing="0" w:after="0" w:afterAutospacing="0" w:line="480" w:lineRule="auto"/>
        <w:jc w:val="center"/>
        <w:rPr>
          <w:b/>
          <w:bCs/>
          <w:color w:val="000000"/>
        </w:rPr>
      </w:pPr>
    </w:p>
    <w:p w:rsidR="00EB3ABE" w:rsidRPr="00B23CD6" w:rsidRDefault="00EB3ABE" w:rsidP="00B23CD6">
      <w:pPr>
        <w:pStyle w:val="NormalWeb"/>
        <w:spacing w:before="0" w:beforeAutospacing="0" w:after="0" w:afterAutospacing="0" w:line="480" w:lineRule="auto"/>
        <w:jc w:val="center"/>
        <w:rPr>
          <w:b/>
          <w:bCs/>
          <w:color w:val="000000"/>
        </w:rPr>
      </w:pPr>
    </w:p>
    <w:p w:rsidR="00EB3ABE" w:rsidRPr="00B23CD6" w:rsidRDefault="00EB3ABE" w:rsidP="00B23CD6">
      <w:pPr>
        <w:pStyle w:val="NormalWeb"/>
        <w:spacing w:before="0" w:beforeAutospacing="0" w:after="0" w:afterAutospacing="0" w:line="480" w:lineRule="auto"/>
        <w:rPr>
          <w:b/>
          <w:bCs/>
          <w:color w:val="000000"/>
        </w:rPr>
      </w:pPr>
    </w:p>
    <w:p w:rsidR="00750EEC" w:rsidRDefault="00750EEC" w:rsidP="00750EEC">
      <w:pPr>
        <w:pStyle w:val="NormalWeb"/>
        <w:spacing w:before="0" w:beforeAutospacing="0" w:after="0" w:afterAutospacing="0" w:line="480" w:lineRule="auto"/>
        <w:jc w:val="center"/>
        <w:rPr>
          <w:b/>
          <w:bCs/>
          <w:color w:val="000000"/>
        </w:rPr>
      </w:pPr>
    </w:p>
    <w:p w:rsidR="00EB3ABE" w:rsidRPr="00371348" w:rsidRDefault="00EB3ABE" w:rsidP="00750EEC">
      <w:pPr>
        <w:pStyle w:val="NormalWeb"/>
        <w:spacing w:before="0" w:beforeAutospacing="0" w:after="0" w:afterAutospacing="0" w:line="480" w:lineRule="auto"/>
        <w:jc w:val="center"/>
        <w:rPr>
          <w:b/>
          <w:bCs/>
          <w:color w:val="000000"/>
          <w:lang w:val="es-ES"/>
        </w:rPr>
      </w:pPr>
      <w:r w:rsidRPr="00371348">
        <w:rPr>
          <w:b/>
          <w:bCs/>
          <w:color w:val="000000"/>
          <w:lang w:val="es-ES"/>
        </w:rPr>
        <w:t>EDMUNDO CAMANA ET AL.</w:t>
      </w:r>
      <w:r w:rsidR="00E42CE8" w:rsidRPr="00371348">
        <w:rPr>
          <w:b/>
          <w:bCs/>
          <w:color w:val="000000"/>
          <w:lang w:val="es-ES"/>
        </w:rPr>
        <w:t>,</w:t>
      </w:r>
    </w:p>
    <w:p w:rsidR="00E42CE8" w:rsidRPr="00371348" w:rsidRDefault="00E42CE8" w:rsidP="00750EEC">
      <w:pPr>
        <w:pStyle w:val="NormalWeb"/>
        <w:spacing w:before="0" w:beforeAutospacing="0" w:after="0" w:afterAutospacing="0" w:line="480" w:lineRule="auto"/>
        <w:jc w:val="center"/>
        <w:rPr>
          <w:b/>
          <w:bCs/>
          <w:color w:val="000000"/>
          <w:lang w:val="es-ES"/>
        </w:rPr>
      </w:pPr>
      <w:r w:rsidRPr="00371348">
        <w:rPr>
          <w:b/>
          <w:bCs/>
          <w:color w:val="000000"/>
          <w:lang w:val="es-ES"/>
        </w:rPr>
        <w:t>PICHICHA AND ORÍFUNA PEOPLES</w:t>
      </w:r>
    </w:p>
    <w:p w:rsidR="00EB3ABE" w:rsidRPr="00B23CD6" w:rsidRDefault="00750EEC" w:rsidP="00750EEC">
      <w:pPr>
        <w:spacing w:after="0" w:line="480" w:lineRule="auto"/>
        <w:jc w:val="center"/>
        <w:rPr>
          <w:rFonts w:eastAsia="Times New Roman"/>
          <w:lang w:eastAsia="en-TT"/>
        </w:rPr>
      </w:pPr>
      <w:r>
        <w:rPr>
          <w:rFonts w:eastAsia="Times New Roman"/>
          <w:b/>
          <w:bCs/>
          <w:i/>
          <w:iCs/>
          <w:color w:val="000000"/>
          <w:lang w:eastAsia="en-TT"/>
        </w:rPr>
        <w:t>Victims</w:t>
      </w:r>
    </w:p>
    <w:p w:rsidR="00EB3ABE" w:rsidRPr="00B23CD6" w:rsidRDefault="00EB3ABE" w:rsidP="00750EEC">
      <w:pPr>
        <w:spacing w:after="0" w:line="480" w:lineRule="auto"/>
        <w:jc w:val="center"/>
        <w:rPr>
          <w:rFonts w:eastAsia="Times New Roman"/>
          <w:lang w:eastAsia="en-TT"/>
        </w:rPr>
      </w:pPr>
    </w:p>
    <w:p w:rsidR="00EB3ABE" w:rsidRPr="00B23CD6" w:rsidRDefault="00EB3ABE" w:rsidP="00750EEC">
      <w:pPr>
        <w:spacing w:after="0" w:line="480" w:lineRule="auto"/>
        <w:jc w:val="center"/>
        <w:rPr>
          <w:rFonts w:eastAsia="Times New Roman"/>
          <w:lang w:eastAsia="en-TT"/>
        </w:rPr>
      </w:pPr>
      <w:r w:rsidRPr="00B23CD6">
        <w:rPr>
          <w:rFonts w:eastAsia="Times New Roman"/>
          <w:b/>
          <w:bCs/>
          <w:color w:val="000000"/>
          <w:lang w:eastAsia="en-TT"/>
        </w:rPr>
        <w:t>v.</w:t>
      </w:r>
    </w:p>
    <w:p w:rsidR="00EB3ABE" w:rsidRPr="00B23CD6" w:rsidRDefault="00EB3ABE" w:rsidP="00750EEC">
      <w:pPr>
        <w:spacing w:after="0" w:line="480" w:lineRule="auto"/>
        <w:jc w:val="center"/>
        <w:rPr>
          <w:rFonts w:eastAsia="Times New Roman"/>
          <w:lang w:eastAsia="en-TT"/>
        </w:rPr>
      </w:pPr>
    </w:p>
    <w:p w:rsidR="00EB3ABE" w:rsidRPr="00B23CD6" w:rsidRDefault="00EB3ABE" w:rsidP="00750EEC">
      <w:pPr>
        <w:tabs>
          <w:tab w:val="center" w:pos="4680"/>
          <w:tab w:val="left" w:pos="7620"/>
        </w:tabs>
        <w:spacing w:after="0" w:line="480" w:lineRule="auto"/>
        <w:rPr>
          <w:rFonts w:eastAsia="Times New Roman"/>
          <w:lang w:eastAsia="en-TT"/>
        </w:rPr>
      </w:pPr>
      <w:r w:rsidRPr="00B23CD6">
        <w:rPr>
          <w:rFonts w:eastAsia="Times New Roman"/>
          <w:b/>
          <w:bCs/>
          <w:color w:val="000000"/>
          <w:lang w:eastAsia="en-TT"/>
        </w:rPr>
        <w:tab/>
        <w:t>SANTA CLARA</w:t>
      </w:r>
      <w:r w:rsidRPr="00B23CD6">
        <w:rPr>
          <w:rFonts w:eastAsia="Times New Roman"/>
          <w:b/>
          <w:bCs/>
          <w:color w:val="000000"/>
          <w:lang w:eastAsia="en-TT"/>
        </w:rPr>
        <w:tab/>
      </w:r>
    </w:p>
    <w:p w:rsidR="00274D7B" w:rsidRPr="00B23CD6" w:rsidRDefault="00750EEC" w:rsidP="00750EEC">
      <w:pPr>
        <w:spacing w:after="240" w:line="480" w:lineRule="auto"/>
        <w:jc w:val="center"/>
        <w:rPr>
          <w:rFonts w:eastAsia="Times New Roman"/>
          <w:u w:val="single"/>
          <w:lang w:eastAsia="en-TT"/>
        </w:rPr>
      </w:pPr>
      <w:r>
        <w:rPr>
          <w:rFonts w:eastAsia="Times New Roman"/>
          <w:b/>
          <w:bCs/>
          <w:i/>
          <w:iCs/>
          <w:color w:val="000000"/>
          <w:lang w:eastAsia="en-TT"/>
        </w:rPr>
        <w:t>State</w:t>
      </w:r>
      <w:r w:rsidR="00EB3ABE" w:rsidRPr="00B23CD6">
        <w:rPr>
          <w:rFonts w:eastAsia="Times New Roman"/>
          <w:lang w:eastAsia="en-TT"/>
        </w:rPr>
        <w:br/>
      </w:r>
      <w:r w:rsidR="00EB3ABE" w:rsidRPr="00B23CD6">
        <w:rPr>
          <w:rFonts w:eastAsia="Times New Roman"/>
          <w:lang w:eastAsia="en-TT"/>
        </w:rPr>
        <w:br/>
      </w:r>
      <w:r w:rsidR="00EB3ABE" w:rsidRPr="00B23CD6">
        <w:rPr>
          <w:rFonts w:eastAsia="Times New Roman"/>
          <w:b/>
          <w:bCs/>
          <w:color w:val="000000"/>
          <w:u w:val="single"/>
          <w:lang w:eastAsia="en-TT"/>
        </w:rPr>
        <w:t>MEMORIAL FOR THE REPRESENTATIVES OF THE VICTIMS</w:t>
      </w:r>
      <w:bookmarkStart w:id="1" w:name="_Toc440048736"/>
    </w:p>
    <w:p w:rsidR="00EB3ABE" w:rsidRPr="00B23CD6" w:rsidRDefault="00274D7B" w:rsidP="00B23CD6">
      <w:pPr>
        <w:tabs>
          <w:tab w:val="left" w:pos="1920"/>
        </w:tabs>
        <w:spacing w:line="480" w:lineRule="auto"/>
      </w:pPr>
      <w:r w:rsidRPr="00B23CD6">
        <w:tab/>
      </w:r>
    </w:p>
    <w:p w:rsidR="00274D7B" w:rsidRPr="00B23CD6" w:rsidRDefault="00274D7B" w:rsidP="00B23CD6">
      <w:pPr>
        <w:tabs>
          <w:tab w:val="left" w:pos="1920"/>
        </w:tabs>
        <w:spacing w:line="480" w:lineRule="auto"/>
      </w:pPr>
    </w:p>
    <w:p w:rsidR="00274D7B" w:rsidRPr="00B23CD6" w:rsidRDefault="00274D7B" w:rsidP="00B23CD6">
      <w:pPr>
        <w:tabs>
          <w:tab w:val="left" w:pos="1920"/>
        </w:tabs>
        <w:spacing w:line="480" w:lineRule="auto"/>
      </w:pPr>
    </w:p>
    <w:p w:rsidR="006A6B59" w:rsidRDefault="006A6B59" w:rsidP="00B23CD6">
      <w:pPr>
        <w:tabs>
          <w:tab w:val="left" w:pos="1920"/>
        </w:tabs>
        <w:spacing w:line="480" w:lineRule="auto"/>
      </w:pPr>
    </w:p>
    <w:p w:rsidR="00750EEC" w:rsidRDefault="00750EEC" w:rsidP="00B23CD6">
      <w:pPr>
        <w:tabs>
          <w:tab w:val="left" w:pos="1920"/>
        </w:tabs>
        <w:spacing w:line="480" w:lineRule="auto"/>
      </w:pPr>
    </w:p>
    <w:p w:rsidR="00750EEC" w:rsidRPr="00B23CD6" w:rsidRDefault="00750EEC" w:rsidP="00B23CD6">
      <w:pPr>
        <w:tabs>
          <w:tab w:val="left" w:pos="1920"/>
        </w:tabs>
        <w:spacing w:line="480" w:lineRule="auto"/>
      </w:pPr>
    </w:p>
    <w:sdt>
      <w:sdtPr>
        <w:rPr>
          <w:rFonts w:ascii="Times New Roman" w:eastAsiaTheme="minorHAnsi" w:hAnsi="Times New Roman" w:cs="Times New Roman"/>
          <w:b w:val="0"/>
          <w:bCs w:val="0"/>
          <w:color w:val="auto"/>
          <w:sz w:val="24"/>
          <w:szCs w:val="24"/>
          <w:lang w:val="en-TT" w:eastAsia="en-US"/>
        </w:rPr>
        <w:id w:val="1894076049"/>
        <w:docPartObj>
          <w:docPartGallery w:val="Table of Contents"/>
          <w:docPartUnique/>
        </w:docPartObj>
      </w:sdtPr>
      <w:sdtEndPr>
        <w:rPr>
          <w:noProof/>
        </w:rPr>
      </w:sdtEndPr>
      <w:sdtContent>
        <w:p w:rsidR="00274D7B" w:rsidRPr="00B80AAA" w:rsidRDefault="00017238" w:rsidP="00B80AAA">
          <w:pPr>
            <w:pStyle w:val="TOCHeading"/>
            <w:spacing w:line="480" w:lineRule="auto"/>
            <w:jc w:val="center"/>
            <w:rPr>
              <w:rFonts w:ascii="Times New Roman" w:hAnsi="Times New Roman" w:cs="Times New Roman"/>
              <w:color w:val="000000" w:themeColor="text1"/>
              <w:sz w:val="24"/>
              <w:szCs w:val="24"/>
            </w:rPr>
          </w:pPr>
          <w:r w:rsidRPr="00B80AAA">
            <w:rPr>
              <w:rFonts w:ascii="Times New Roman" w:hAnsi="Times New Roman" w:cs="Times New Roman"/>
              <w:color w:val="000000" w:themeColor="text1"/>
              <w:sz w:val="24"/>
              <w:szCs w:val="24"/>
            </w:rPr>
            <w:t>TABLE OF CONTENTS</w:t>
          </w:r>
        </w:p>
        <w:p w:rsidR="00CF4D24" w:rsidRPr="00B80AAA" w:rsidRDefault="00274D7B" w:rsidP="00B80AAA">
          <w:pPr>
            <w:pStyle w:val="TOC1"/>
            <w:tabs>
              <w:tab w:val="clear" w:pos="440"/>
              <w:tab w:val="left" w:pos="0"/>
            </w:tabs>
            <w:ind w:left="0" w:firstLine="0"/>
            <w:rPr>
              <w:rFonts w:eastAsiaTheme="minorEastAsia"/>
              <w:b w:val="0"/>
              <w:lang w:eastAsia="en-TT"/>
            </w:rPr>
          </w:pPr>
          <w:r w:rsidRPr="00B80AAA">
            <w:fldChar w:fldCharType="begin"/>
          </w:r>
          <w:r w:rsidRPr="00B80AAA">
            <w:instrText xml:space="preserve"> TOC \o "1-3" \h \z \u </w:instrText>
          </w:r>
          <w:r w:rsidRPr="00B80AAA">
            <w:fldChar w:fldCharType="separate"/>
          </w:r>
          <w:hyperlink w:anchor="_Toc446831619" w:history="1">
            <w:r w:rsidR="00CF4D24" w:rsidRPr="00B80AAA">
              <w:rPr>
                <w:rStyle w:val="Hyperlink"/>
              </w:rPr>
              <w:t>1.</w:t>
            </w:r>
            <w:r w:rsidR="00CF4D24" w:rsidRPr="00B80AAA">
              <w:rPr>
                <w:rFonts w:eastAsiaTheme="minorEastAsia"/>
                <w:b w:val="0"/>
                <w:lang w:eastAsia="en-TT"/>
              </w:rPr>
              <w:t xml:space="preserve"> </w:t>
            </w:r>
            <w:r w:rsidR="00CF4D24" w:rsidRPr="00B80AAA">
              <w:rPr>
                <w:rStyle w:val="Hyperlink"/>
              </w:rPr>
              <w:t>INDEX OF AUTHORITIES</w:t>
            </w:r>
            <w:r w:rsidR="00CF4D24" w:rsidRPr="00B80AAA">
              <w:rPr>
                <w:webHidden/>
              </w:rPr>
              <w:tab/>
            </w:r>
            <w:r w:rsidR="00CF4D24" w:rsidRPr="00B80AAA">
              <w:rPr>
                <w:webHidden/>
              </w:rPr>
              <w:fldChar w:fldCharType="begin"/>
            </w:r>
            <w:r w:rsidR="00CF4D24" w:rsidRPr="00B80AAA">
              <w:rPr>
                <w:webHidden/>
              </w:rPr>
              <w:instrText xml:space="preserve"> PAGEREF _Toc446831619 \h </w:instrText>
            </w:r>
            <w:r w:rsidR="00CF4D24" w:rsidRPr="00B80AAA">
              <w:rPr>
                <w:webHidden/>
              </w:rPr>
            </w:r>
            <w:r w:rsidR="00CF4D24" w:rsidRPr="00B80AAA">
              <w:rPr>
                <w:webHidden/>
              </w:rPr>
              <w:fldChar w:fldCharType="separate"/>
            </w:r>
            <w:r w:rsidR="00C243EA">
              <w:rPr>
                <w:webHidden/>
              </w:rPr>
              <w:t>4</w:t>
            </w:r>
            <w:r w:rsidR="00CF4D24" w:rsidRPr="00B80AAA">
              <w:rPr>
                <w:webHidden/>
              </w:rPr>
              <w:fldChar w:fldCharType="end"/>
            </w:r>
          </w:hyperlink>
        </w:p>
        <w:p w:rsidR="00CF4D24" w:rsidRPr="00B80AAA" w:rsidRDefault="00DB0AC4" w:rsidP="00B80AAA">
          <w:pPr>
            <w:pStyle w:val="TOC2"/>
            <w:tabs>
              <w:tab w:val="left" w:pos="0"/>
            </w:tabs>
            <w:ind w:left="0"/>
            <w:rPr>
              <w:rFonts w:eastAsiaTheme="minorEastAsia"/>
              <w:b w:val="0"/>
              <w:i w:val="0"/>
            </w:rPr>
          </w:pPr>
          <w:hyperlink w:anchor="_Toc446831620" w:history="1">
            <w:r w:rsidR="00CF4D24" w:rsidRPr="00B80AAA">
              <w:rPr>
                <w:rStyle w:val="Hyperlink"/>
              </w:rPr>
              <w:t>1.1</w:t>
            </w:r>
            <w:r w:rsidR="00CF4D24" w:rsidRPr="00B80AAA">
              <w:rPr>
                <w:rFonts w:eastAsiaTheme="minorEastAsia"/>
                <w:b w:val="0"/>
                <w:i w:val="0"/>
              </w:rPr>
              <w:t xml:space="preserve"> </w:t>
            </w:r>
            <w:r w:rsidR="00CF4D24" w:rsidRPr="00B80AAA">
              <w:rPr>
                <w:rStyle w:val="Hyperlink"/>
              </w:rPr>
              <w:t>Legal Books and Articles</w:t>
            </w:r>
            <w:r w:rsidR="00CF4D24" w:rsidRPr="00B80AAA">
              <w:rPr>
                <w:webHidden/>
              </w:rPr>
              <w:tab/>
            </w:r>
            <w:r w:rsidR="00CF4D24" w:rsidRPr="00B80AAA">
              <w:rPr>
                <w:webHidden/>
              </w:rPr>
              <w:fldChar w:fldCharType="begin"/>
            </w:r>
            <w:r w:rsidR="00CF4D24" w:rsidRPr="00B80AAA">
              <w:rPr>
                <w:webHidden/>
              </w:rPr>
              <w:instrText xml:space="preserve"> PAGEREF _Toc446831620 \h </w:instrText>
            </w:r>
            <w:r w:rsidR="00CF4D24" w:rsidRPr="00B80AAA">
              <w:rPr>
                <w:webHidden/>
              </w:rPr>
            </w:r>
            <w:r w:rsidR="00CF4D24" w:rsidRPr="00B80AAA">
              <w:rPr>
                <w:webHidden/>
              </w:rPr>
              <w:fldChar w:fldCharType="separate"/>
            </w:r>
            <w:r w:rsidR="00C243EA">
              <w:rPr>
                <w:webHidden/>
              </w:rPr>
              <w:t>4</w:t>
            </w:r>
            <w:r w:rsidR="00CF4D24" w:rsidRPr="00B80AAA">
              <w:rPr>
                <w:webHidden/>
              </w:rPr>
              <w:fldChar w:fldCharType="end"/>
            </w:r>
          </w:hyperlink>
        </w:p>
        <w:p w:rsidR="00CF4D24" w:rsidRPr="00B80AAA" w:rsidRDefault="00DB0AC4" w:rsidP="00B80AAA">
          <w:pPr>
            <w:pStyle w:val="TOC2"/>
            <w:tabs>
              <w:tab w:val="left" w:pos="0"/>
            </w:tabs>
            <w:ind w:left="0"/>
            <w:rPr>
              <w:rFonts w:eastAsiaTheme="minorEastAsia"/>
              <w:b w:val="0"/>
              <w:i w:val="0"/>
            </w:rPr>
          </w:pPr>
          <w:hyperlink w:anchor="_Toc446831621" w:history="1">
            <w:r w:rsidR="00CF4D24" w:rsidRPr="00B80AAA">
              <w:rPr>
                <w:rStyle w:val="Hyperlink"/>
              </w:rPr>
              <w:t>1.1.2</w:t>
            </w:r>
            <w:r w:rsidR="00CF4D24" w:rsidRPr="00B80AAA">
              <w:rPr>
                <w:rFonts w:eastAsiaTheme="minorEastAsia"/>
                <w:b w:val="0"/>
                <w:i w:val="0"/>
              </w:rPr>
              <w:t xml:space="preserve"> </w:t>
            </w:r>
            <w:r w:rsidR="00CF4D24" w:rsidRPr="00B80AAA">
              <w:rPr>
                <w:rStyle w:val="Hyperlink"/>
              </w:rPr>
              <w:t>Articles</w:t>
            </w:r>
            <w:r w:rsidR="00CF4D24" w:rsidRPr="00B80AAA">
              <w:rPr>
                <w:webHidden/>
              </w:rPr>
              <w:tab/>
            </w:r>
            <w:r w:rsidR="00CF4D24" w:rsidRPr="00B80AAA">
              <w:rPr>
                <w:webHidden/>
              </w:rPr>
              <w:fldChar w:fldCharType="begin"/>
            </w:r>
            <w:r w:rsidR="00CF4D24" w:rsidRPr="00B80AAA">
              <w:rPr>
                <w:webHidden/>
              </w:rPr>
              <w:instrText xml:space="preserve"> PAGEREF _Toc446831621 \h </w:instrText>
            </w:r>
            <w:r w:rsidR="00CF4D24" w:rsidRPr="00B80AAA">
              <w:rPr>
                <w:webHidden/>
              </w:rPr>
            </w:r>
            <w:r w:rsidR="00CF4D24" w:rsidRPr="00B80AAA">
              <w:rPr>
                <w:webHidden/>
              </w:rPr>
              <w:fldChar w:fldCharType="separate"/>
            </w:r>
            <w:r w:rsidR="00C243EA">
              <w:rPr>
                <w:webHidden/>
              </w:rPr>
              <w:t>4</w:t>
            </w:r>
            <w:r w:rsidR="00CF4D24" w:rsidRPr="00B80AAA">
              <w:rPr>
                <w:webHidden/>
              </w:rPr>
              <w:fldChar w:fldCharType="end"/>
            </w:r>
          </w:hyperlink>
        </w:p>
        <w:p w:rsidR="00CF4D24" w:rsidRPr="00B80AAA" w:rsidRDefault="00DB0AC4" w:rsidP="00B80AAA">
          <w:pPr>
            <w:pStyle w:val="TOC3"/>
            <w:tabs>
              <w:tab w:val="left" w:pos="0"/>
            </w:tabs>
            <w:spacing w:line="480" w:lineRule="auto"/>
            <w:ind w:left="0"/>
            <w:jc w:val="both"/>
            <w:rPr>
              <w:rFonts w:eastAsiaTheme="minorEastAsia"/>
              <w:bCs w:val="0"/>
              <w:i w:val="0"/>
              <w:color w:val="auto"/>
              <w:lang w:eastAsia="en-TT"/>
            </w:rPr>
          </w:pPr>
          <w:hyperlink w:anchor="_Toc446831622" w:history="1">
            <w:r w:rsidR="00CF4D24" w:rsidRPr="00B80AAA">
              <w:rPr>
                <w:rStyle w:val="Hyperlink"/>
                <w:lang w:eastAsia="en-TT"/>
              </w:rPr>
              <w:t>1.1.3 Books</w:t>
            </w:r>
            <w:r w:rsidR="00CF4D24" w:rsidRPr="00B80AAA">
              <w:rPr>
                <w:webHidden/>
              </w:rPr>
              <w:tab/>
            </w:r>
            <w:r w:rsidR="00CF4D24" w:rsidRPr="00B80AAA">
              <w:rPr>
                <w:webHidden/>
              </w:rPr>
              <w:fldChar w:fldCharType="begin"/>
            </w:r>
            <w:r w:rsidR="00CF4D24" w:rsidRPr="00B80AAA">
              <w:rPr>
                <w:webHidden/>
              </w:rPr>
              <w:instrText xml:space="preserve"> PAGEREF _Toc446831622 \h </w:instrText>
            </w:r>
            <w:r w:rsidR="00CF4D24" w:rsidRPr="00B80AAA">
              <w:rPr>
                <w:webHidden/>
              </w:rPr>
            </w:r>
            <w:r w:rsidR="00CF4D24" w:rsidRPr="00B80AAA">
              <w:rPr>
                <w:webHidden/>
              </w:rPr>
              <w:fldChar w:fldCharType="separate"/>
            </w:r>
            <w:r w:rsidR="00C243EA">
              <w:rPr>
                <w:webHidden/>
              </w:rPr>
              <w:t>5</w:t>
            </w:r>
            <w:r w:rsidR="00CF4D24" w:rsidRPr="00B80AAA">
              <w:rPr>
                <w:webHidden/>
              </w:rPr>
              <w:fldChar w:fldCharType="end"/>
            </w:r>
          </w:hyperlink>
        </w:p>
        <w:p w:rsidR="00CF4D24" w:rsidRPr="00B80AAA" w:rsidRDefault="00DB0AC4" w:rsidP="00B80AAA">
          <w:pPr>
            <w:pStyle w:val="TOC3"/>
            <w:tabs>
              <w:tab w:val="left" w:pos="0"/>
            </w:tabs>
            <w:spacing w:line="480" w:lineRule="auto"/>
            <w:ind w:left="0"/>
            <w:jc w:val="both"/>
            <w:rPr>
              <w:rFonts w:eastAsiaTheme="minorEastAsia"/>
              <w:bCs w:val="0"/>
              <w:i w:val="0"/>
              <w:color w:val="auto"/>
              <w:lang w:eastAsia="en-TT"/>
            </w:rPr>
          </w:pPr>
          <w:hyperlink w:anchor="_Toc446831623" w:history="1">
            <w:r w:rsidR="00CF4D24" w:rsidRPr="00B80AAA">
              <w:rPr>
                <w:rStyle w:val="Hyperlink"/>
                <w:lang w:eastAsia="en-TT"/>
              </w:rPr>
              <w:t>1.1.4 Treaties and Other International Documents</w:t>
            </w:r>
            <w:r w:rsidR="00CF4D24" w:rsidRPr="00B80AAA">
              <w:rPr>
                <w:webHidden/>
              </w:rPr>
              <w:tab/>
            </w:r>
            <w:r w:rsidR="00CF4D24" w:rsidRPr="00B80AAA">
              <w:rPr>
                <w:webHidden/>
              </w:rPr>
              <w:fldChar w:fldCharType="begin"/>
            </w:r>
            <w:r w:rsidR="00CF4D24" w:rsidRPr="00B80AAA">
              <w:rPr>
                <w:webHidden/>
              </w:rPr>
              <w:instrText xml:space="preserve"> PAGEREF _Toc446831623 \h </w:instrText>
            </w:r>
            <w:r w:rsidR="00CF4D24" w:rsidRPr="00B80AAA">
              <w:rPr>
                <w:webHidden/>
              </w:rPr>
            </w:r>
            <w:r w:rsidR="00CF4D24" w:rsidRPr="00B80AAA">
              <w:rPr>
                <w:webHidden/>
              </w:rPr>
              <w:fldChar w:fldCharType="separate"/>
            </w:r>
            <w:r w:rsidR="00C243EA">
              <w:rPr>
                <w:webHidden/>
              </w:rPr>
              <w:t>5</w:t>
            </w:r>
            <w:r w:rsidR="00CF4D24" w:rsidRPr="00B80AAA">
              <w:rPr>
                <w:webHidden/>
              </w:rPr>
              <w:fldChar w:fldCharType="end"/>
            </w:r>
          </w:hyperlink>
        </w:p>
        <w:p w:rsidR="00CF4D24" w:rsidRPr="00B80AAA" w:rsidRDefault="00DB0AC4" w:rsidP="00B80AAA">
          <w:pPr>
            <w:pStyle w:val="TOC2"/>
            <w:tabs>
              <w:tab w:val="left" w:pos="0"/>
            </w:tabs>
            <w:ind w:left="0"/>
            <w:rPr>
              <w:rFonts w:eastAsiaTheme="minorEastAsia"/>
              <w:b w:val="0"/>
              <w:i w:val="0"/>
            </w:rPr>
          </w:pPr>
          <w:hyperlink w:anchor="_Toc446831624" w:history="1">
            <w:r w:rsidR="00CF4D24" w:rsidRPr="00B80AAA">
              <w:rPr>
                <w:rStyle w:val="Hyperlink"/>
              </w:rPr>
              <w:t>1.2    Cases</w:t>
            </w:r>
            <w:r w:rsidR="00CF4D24" w:rsidRPr="00B80AAA">
              <w:rPr>
                <w:webHidden/>
              </w:rPr>
              <w:tab/>
            </w:r>
            <w:r w:rsidR="00CF4D24" w:rsidRPr="00B80AAA">
              <w:rPr>
                <w:webHidden/>
              </w:rPr>
              <w:fldChar w:fldCharType="begin"/>
            </w:r>
            <w:r w:rsidR="00CF4D24" w:rsidRPr="00B80AAA">
              <w:rPr>
                <w:webHidden/>
              </w:rPr>
              <w:instrText xml:space="preserve"> PAGEREF _Toc446831624 \h </w:instrText>
            </w:r>
            <w:r w:rsidR="00CF4D24" w:rsidRPr="00B80AAA">
              <w:rPr>
                <w:webHidden/>
              </w:rPr>
            </w:r>
            <w:r w:rsidR="00CF4D24" w:rsidRPr="00B80AAA">
              <w:rPr>
                <w:webHidden/>
              </w:rPr>
              <w:fldChar w:fldCharType="separate"/>
            </w:r>
            <w:r w:rsidR="00C243EA">
              <w:rPr>
                <w:webHidden/>
              </w:rPr>
              <w:t>6</w:t>
            </w:r>
            <w:r w:rsidR="00CF4D24" w:rsidRPr="00B80AAA">
              <w:rPr>
                <w:webHidden/>
              </w:rPr>
              <w:fldChar w:fldCharType="end"/>
            </w:r>
          </w:hyperlink>
        </w:p>
        <w:p w:rsidR="00CF4D24" w:rsidRPr="00B80AAA" w:rsidRDefault="00DB0AC4" w:rsidP="00B80AAA">
          <w:pPr>
            <w:pStyle w:val="TOC1"/>
            <w:tabs>
              <w:tab w:val="clear" w:pos="440"/>
              <w:tab w:val="left" w:pos="0"/>
            </w:tabs>
            <w:ind w:left="0" w:firstLine="0"/>
            <w:rPr>
              <w:rFonts w:eastAsiaTheme="minorEastAsia"/>
              <w:b w:val="0"/>
              <w:lang w:eastAsia="en-TT"/>
            </w:rPr>
          </w:pPr>
          <w:hyperlink w:anchor="_Toc446831625" w:history="1">
            <w:r w:rsidR="00CF4D24" w:rsidRPr="00B80AAA">
              <w:rPr>
                <w:rStyle w:val="Hyperlink"/>
              </w:rPr>
              <w:t>2.</w:t>
            </w:r>
            <w:r w:rsidR="00CF4D24" w:rsidRPr="00B80AAA">
              <w:rPr>
                <w:rFonts w:eastAsiaTheme="minorEastAsia"/>
                <w:b w:val="0"/>
                <w:lang w:eastAsia="en-TT"/>
              </w:rPr>
              <w:t xml:space="preserve"> </w:t>
            </w:r>
            <w:r w:rsidR="00CF4D24" w:rsidRPr="00B80AAA">
              <w:rPr>
                <w:rStyle w:val="Hyperlink"/>
              </w:rPr>
              <w:t>STATEMENT OF FACTS</w:t>
            </w:r>
            <w:r w:rsidR="00CF4D24" w:rsidRPr="00B80AAA">
              <w:rPr>
                <w:webHidden/>
              </w:rPr>
              <w:tab/>
            </w:r>
            <w:r w:rsidR="00CF4D24" w:rsidRPr="00B80AAA">
              <w:rPr>
                <w:webHidden/>
              </w:rPr>
              <w:fldChar w:fldCharType="begin"/>
            </w:r>
            <w:r w:rsidR="00CF4D24" w:rsidRPr="00B80AAA">
              <w:rPr>
                <w:webHidden/>
              </w:rPr>
              <w:instrText xml:space="preserve"> PAGEREF _Toc446831625 \h </w:instrText>
            </w:r>
            <w:r w:rsidR="00CF4D24" w:rsidRPr="00B80AAA">
              <w:rPr>
                <w:webHidden/>
              </w:rPr>
            </w:r>
            <w:r w:rsidR="00CF4D24" w:rsidRPr="00B80AAA">
              <w:rPr>
                <w:webHidden/>
              </w:rPr>
              <w:fldChar w:fldCharType="separate"/>
            </w:r>
            <w:r w:rsidR="00C243EA">
              <w:rPr>
                <w:webHidden/>
              </w:rPr>
              <w:t>8</w:t>
            </w:r>
            <w:r w:rsidR="00CF4D24" w:rsidRPr="00B80AAA">
              <w:rPr>
                <w:webHidden/>
              </w:rPr>
              <w:fldChar w:fldCharType="end"/>
            </w:r>
          </w:hyperlink>
        </w:p>
        <w:p w:rsidR="00CF4D24" w:rsidRPr="00B80AAA" w:rsidRDefault="00DB0AC4" w:rsidP="00B80AAA">
          <w:pPr>
            <w:pStyle w:val="TOC1"/>
            <w:tabs>
              <w:tab w:val="clear" w:pos="440"/>
              <w:tab w:val="left" w:pos="0"/>
            </w:tabs>
            <w:ind w:left="0" w:firstLine="0"/>
            <w:rPr>
              <w:rFonts w:eastAsiaTheme="minorEastAsia"/>
              <w:b w:val="0"/>
              <w:lang w:eastAsia="en-TT"/>
            </w:rPr>
          </w:pPr>
          <w:hyperlink w:anchor="_Toc446831626" w:history="1">
            <w:r w:rsidR="00CF4D24" w:rsidRPr="00B80AAA">
              <w:rPr>
                <w:rStyle w:val="Hyperlink"/>
              </w:rPr>
              <w:t>3. LEGAL ANALYSIS</w:t>
            </w:r>
            <w:r w:rsidR="00CF4D24" w:rsidRPr="00B80AAA">
              <w:rPr>
                <w:webHidden/>
              </w:rPr>
              <w:tab/>
            </w:r>
            <w:r w:rsidR="00CF4D24" w:rsidRPr="00B80AAA">
              <w:rPr>
                <w:webHidden/>
              </w:rPr>
              <w:fldChar w:fldCharType="begin"/>
            </w:r>
            <w:r w:rsidR="00CF4D24" w:rsidRPr="00B80AAA">
              <w:rPr>
                <w:webHidden/>
              </w:rPr>
              <w:instrText xml:space="preserve"> PAGEREF _Toc446831626 \h </w:instrText>
            </w:r>
            <w:r w:rsidR="00CF4D24" w:rsidRPr="00B80AAA">
              <w:rPr>
                <w:webHidden/>
              </w:rPr>
            </w:r>
            <w:r w:rsidR="00CF4D24" w:rsidRPr="00B80AAA">
              <w:rPr>
                <w:webHidden/>
              </w:rPr>
              <w:fldChar w:fldCharType="separate"/>
            </w:r>
            <w:r w:rsidR="00C243EA">
              <w:rPr>
                <w:webHidden/>
              </w:rPr>
              <w:t>16</w:t>
            </w:r>
            <w:r w:rsidR="00CF4D24" w:rsidRPr="00B80AAA">
              <w:rPr>
                <w:webHidden/>
              </w:rPr>
              <w:fldChar w:fldCharType="end"/>
            </w:r>
          </w:hyperlink>
        </w:p>
        <w:p w:rsidR="00CF4D24" w:rsidRPr="00B80AAA" w:rsidRDefault="00DB0AC4" w:rsidP="00B80AAA">
          <w:pPr>
            <w:pStyle w:val="TOC2"/>
            <w:tabs>
              <w:tab w:val="left" w:pos="0"/>
            </w:tabs>
            <w:ind w:left="0"/>
            <w:rPr>
              <w:rFonts w:eastAsiaTheme="minorEastAsia"/>
              <w:b w:val="0"/>
              <w:i w:val="0"/>
            </w:rPr>
          </w:pPr>
          <w:hyperlink w:anchor="_Toc446831627" w:history="1">
            <w:r w:rsidR="00CF4D24" w:rsidRPr="00B80AAA">
              <w:rPr>
                <w:rStyle w:val="Hyperlink"/>
              </w:rPr>
              <w:t>3.1 Statement of Jurisdiction</w:t>
            </w:r>
            <w:r w:rsidR="00CF4D24" w:rsidRPr="00B80AAA">
              <w:rPr>
                <w:webHidden/>
              </w:rPr>
              <w:tab/>
            </w:r>
            <w:r w:rsidR="00CF4D24" w:rsidRPr="00B80AAA">
              <w:rPr>
                <w:webHidden/>
              </w:rPr>
              <w:fldChar w:fldCharType="begin"/>
            </w:r>
            <w:r w:rsidR="00CF4D24" w:rsidRPr="00B80AAA">
              <w:rPr>
                <w:webHidden/>
              </w:rPr>
              <w:instrText xml:space="preserve"> PAGEREF _Toc446831627 \h </w:instrText>
            </w:r>
            <w:r w:rsidR="00CF4D24" w:rsidRPr="00B80AAA">
              <w:rPr>
                <w:webHidden/>
              </w:rPr>
            </w:r>
            <w:r w:rsidR="00CF4D24" w:rsidRPr="00B80AAA">
              <w:rPr>
                <w:webHidden/>
              </w:rPr>
              <w:fldChar w:fldCharType="separate"/>
            </w:r>
            <w:r w:rsidR="00C243EA">
              <w:rPr>
                <w:webHidden/>
              </w:rPr>
              <w:t>16</w:t>
            </w:r>
            <w:r w:rsidR="00CF4D24" w:rsidRPr="00B80AAA">
              <w:rPr>
                <w:webHidden/>
              </w:rPr>
              <w:fldChar w:fldCharType="end"/>
            </w:r>
          </w:hyperlink>
        </w:p>
        <w:p w:rsidR="00CF4D24" w:rsidRPr="00B80AAA" w:rsidRDefault="00DB0AC4" w:rsidP="00B80AAA">
          <w:pPr>
            <w:pStyle w:val="TOC2"/>
            <w:tabs>
              <w:tab w:val="left" w:pos="0"/>
            </w:tabs>
            <w:ind w:left="0"/>
            <w:rPr>
              <w:rFonts w:eastAsiaTheme="minorEastAsia"/>
              <w:b w:val="0"/>
              <w:i w:val="0"/>
            </w:rPr>
          </w:pPr>
          <w:hyperlink w:anchor="_Toc446831628" w:history="1">
            <w:r w:rsidR="00CF4D24" w:rsidRPr="00B80AAA">
              <w:rPr>
                <w:rStyle w:val="Hyperlink"/>
              </w:rPr>
              <w:t>3.2 Admissibility</w:t>
            </w:r>
            <w:r w:rsidR="00CF4D24" w:rsidRPr="00B80AAA">
              <w:rPr>
                <w:webHidden/>
              </w:rPr>
              <w:tab/>
            </w:r>
            <w:r w:rsidR="00CF4D24" w:rsidRPr="00B80AAA">
              <w:rPr>
                <w:webHidden/>
              </w:rPr>
              <w:fldChar w:fldCharType="begin"/>
            </w:r>
            <w:r w:rsidR="00CF4D24" w:rsidRPr="00B80AAA">
              <w:rPr>
                <w:webHidden/>
              </w:rPr>
              <w:instrText xml:space="preserve"> PAGEREF _Toc446831628 \h </w:instrText>
            </w:r>
            <w:r w:rsidR="00CF4D24" w:rsidRPr="00B80AAA">
              <w:rPr>
                <w:webHidden/>
              </w:rPr>
            </w:r>
            <w:r w:rsidR="00CF4D24" w:rsidRPr="00B80AAA">
              <w:rPr>
                <w:webHidden/>
              </w:rPr>
              <w:fldChar w:fldCharType="separate"/>
            </w:r>
            <w:r w:rsidR="00C243EA">
              <w:rPr>
                <w:webHidden/>
              </w:rPr>
              <w:t>17</w:t>
            </w:r>
            <w:r w:rsidR="00CF4D24" w:rsidRPr="00B80AAA">
              <w:rPr>
                <w:webHidden/>
              </w:rPr>
              <w:fldChar w:fldCharType="end"/>
            </w:r>
          </w:hyperlink>
        </w:p>
        <w:p w:rsidR="00CF4D24" w:rsidRPr="00B80AAA" w:rsidRDefault="00DB0AC4" w:rsidP="00B80AAA">
          <w:pPr>
            <w:pStyle w:val="TOC3"/>
            <w:tabs>
              <w:tab w:val="left" w:pos="0"/>
            </w:tabs>
            <w:spacing w:line="480" w:lineRule="auto"/>
            <w:ind w:left="0"/>
            <w:jc w:val="both"/>
            <w:rPr>
              <w:rFonts w:eastAsiaTheme="minorEastAsia"/>
              <w:bCs w:val="0"/>
              <w:i w:val="0"/>
              <w:color w:val="auto"/>
              <w:lang w:eastAsia="en-TT"/>
            </w:rPr>
          </w:pPr>
          <w:hyperlink w:anchor="_Toc446831629" w:history="1">
            <w:r w:rsidR="00CF4D24" w:rsidRPr="00B80AAA">
              <w:rPr>
                <w:rStyle w:val="Hyperlink"/>
              </w:rPr>
              <w:t>3.2.1 Preliminary objection of alleged lack of territorial jurisdiction of the Inter-American Commission in relation to events that took place in Madruga</w:t>
            </w:r>
            <w:r w:rsidR="00CF4D24" w:rsidRPr="00B80AAA">
              <w:rPr>
                <w:webHidden/>
              </w:rPr>
              <w:tab/>
            </w:r>
            <w:r w:rsidR="00CF4D24" w:rsidRPr="00B80AAA">
              <w:rPr>
                <w:webHidden/>
              </w:rPr>
              <w:fldChar w:fldCharType="begin"/>
            </w:r>
            <w:r w:rsidR="00CF4D24" w:rsidRPr="00B80AAA">
              <w:rPr>
                <w:webHidden/>
              </w:rPr>
              <w:instrText xml:space="preserve"> PAGEREF _Toc446831629 \h </w:instrText>
            </w:r>
            <w:r w:rsidR="00CF4D24" w:rsidRPr="00B80AAA">
              <w:rPr>
                <w:webHidden/>
              </w:rPr>
            </w:r>
            <w:r w:rsidR="00CF4D24" w:rsidRPr="00B80AAA">
              <w:rPr>
                <w:webHidden/>
              </w:rPr>
              <w:fldChar w:fldCharType="separate"/>
            </w:r>
            <w:r w:rsidR="00C243EA">
              <w:rPr>
                <w:webHidden/>
              </w:rPr>
              <w:t>17</w:t>
            </w:r>
            <w:r w:rsidR="00CF4D24" w:rsidRPr="00B80AAA">
              <w:rPr>
                <w:webHidden/>
              </w:rPr>
              <w:fldChar w:fldCharType="end"/>
            </w:r>
          </w:hyperlink>
        </w:p>
        <w:p w:rsidR="00CF4D24" w:rsidRPr="00B80AAA" w:rsidRDefault="00DB0AC4" w:rsidP="00B80AAA">
          <w:pPr>
            <w:pStyle w:val="TOC2"/>
            <w:tabs>
              <w:tab w:val="left" w:pos="0"/>
            </w:tabs>
            <w:ind w:left="0"/>
            <w:rPr>
              <w:rFonts w:eastAsiaTheme="minorEastAsia"/>
              <w:b w:val="0"/>
              <w:i w:val="0"/>
            </w:rPr>
          </w:pPr>
          <w:hyperlink w:anchor="_Toc446831630" w:history="1">
            <w:r w:rsidR="00CF4D24" w:rsidRPr="00B80AAA">
              <w:rPr>
                <w:rStyle w:val="Hyperlink"/>
                <w:b w:val="0"/>
              </w:rPr>
              <w:t>3.2.2</w:t>
            </w:r>
            <w:r w:rsidR="00CF4D24" w:rsidRPr="00B80AAA">
              <w:rPr>
                <w:rStyle w:val="Hyperlink"/>
              </w:rPr>
              <w:t xml:space="preserve"> </w:t>
            </w:r>
            <w:r w:rsidR="00CF4D24" w:rsidRPr="00B80AAA">
              <w:rPr>
                <w:rStyle w:val="Hyperlink"/>
                <w:b w:val="0"/>
              </w:rPr>
              <w:t>The Exhaustion of domestic remedies by the Representatives of the Victims</w:t>
            </w:r>
            <w:r w:rsidR="00CF4D24" w:rsidRPr="00C243EA">
              <w:rPr>
                <w:b w:val="0"/>
                <w:webHidden/>
              </w:rPr>
              <w:tab/>
            </w:r>
            <w:r w:rsidR="00CF4D24" w:rsidRPr="00C243EA">
              <w:rPr>
                <w:b w:val="0"/>
                <w:webHidden/>
              </w:rPr>
              <w:fldChar w:fldCharType="begin"/>
            </w:r>
            <w:r w:rsidR="00CF4D24" w:rsidRPr="00C243EA">
              <w:rPr>
                <w:b w:val="0"/>
                <w:webHidden/>
              </w:rPr>
              <w:instrText xml:space="preserve"> PAGEREF _Toc446831630 \h </w:instrText>
            </w:r>
            <w:r w:rsidR="00CF4D24" w:rsidRPr="00C243EA">
              <w:rPr>
                <w:b w:val="0"/>
                <w:webHidden/>
              </w:rPr>
            </w:r>
            <w:r w:rsidR="00CF4D24" w:rsidRPr="00C243EA">
              <w:rPr>
                <w:b w:val="0"/>
                <w:webHidden/>
              </w:rPr>
              <w:fldChar w:fldCharType="separate"/>
            </w:r>
            <w:r w:rsidR="00C243EA" w:rsidRPr="00C243EA">
              <w:rPr>
                <w:b w:val="0"/>
                <w:webHidden/>
              </w:rPr>
              <w:t>18</w:t>
            </w:r>
            <w:r w:rsidR="00CF4D24" w:rsidRPr="00C243EA">
              <w:rPr>
                <w:b w:val="0"/>
                <w:webHidden/>
              </w:rPr>
              <w:fldChar w:fldCharType="end"/>
            </w:r>
          </w:hyperlink>
        </w:p>
        <w:p w:rsidR="00CF4D24" w:rsidRPr="00B80AAA" w:rsidRDefault="00DB0AC4" w:rsidP="00B80AAA">
          <w:pPr>
            <w:pStyle w:val="TOC2"/>
            <w:tabs>
              <w:tab w:val="left" w:pos="0"/>
            </w:tabs>
            <w:ind w:left="0"/>
            <w:rPr>
              <w:rFonts w:eastAsiaTheme="minorEastAsia"/>
              <w:b w:val="0"/>
              <w:i w:val="0"/>
            </w:rPr>
          </w:pPr>
          <w:hyperlink w:anchor="_Toc446831631" w:history="1">
            <w:r w:rsidR="00CF4D24" w:rsidRPr="00B80AAA">
              <w:rPr>
                <w:rStyle w:val="Hyperlink"/>
              </w:rPr>
              <w:t>3.3 Santa Clara has violated Articles 4, 5, 16, 17, 8, and 25 of the American Convention, all read in conjunction with Articles 1(1) and 2 in respect of Edmundo Camana and his family</w:t>
            </w:r>
            <w:r w:rsidR="00CF4D24" w:rsidRPr="00B80AAA">
              <w:rPr>
                <w:webHidden/>
              </w:rPr>
              <w:tab/>
            </w:r>
            <w:r w:rsidR="00CF4D24" w:rsidRPr="00B80AAA">
              <w:rPr>
                <w:webHidden/>
              </w:rPr>
              <w:fldChar w:fldCharType="begin"/>
            </w:r>
            <w:r w:rsidR="00CF4D24" w:rsidRPr="00B80AAA">
              <w:rPr>
                <w:webHidden/>
              </w:rPr>
              <w:instrText xml:space="preserve"> PAGEREF _Toc446831631 \h </w:instrText>
            </w:r>
            <w:r w:rsidR="00CF4D24" w:rsidRPr="00B80AAA">
              <w:rPr>
                <w:webHidden/>
              </w:rPr>
            </w:r>
            <w:r w:rsidR="00CF4D24" w:rsidRPr="00B80AAA">
              <w:rPr>
                <w:webHidden/>
              </w:rPr>
              <w:fldChar w:fldCharType="separate"/>
            </w:r>
            <w:r w:rsidR="00C243EA">
              <w:rPr>
                <w:webHidden/>
              </w:rPr>
              <w:t>21</w:t>
            </w:r>
            <w:r w:rsidR="00CF4D24" w:rsidRPr="00B80AAA">
              <w:rPr>
                <w:webHidden/>
              </w:rPr>
              <w:fldChar w:fldCharType="end"/>
            </w:r>
          </w:hyperlink>
        </w:p>
        <w:p w:rsidR="00CF4D24" w:rsidRPr="00B80AAA" w:rsidRDefault="00DB0AC4" w:rsidP="00B80AAA">
          <w:pPr>
            <w:pStyle w:val="TOC3"/>
            <w:tabs>
              <w:tab w:val="left" w:pos="0"/>
            </w:tabs>
            <w:spacing w:line="480" w:lineRule="auto"/>
            <w:ind w:left="0"/>
            <w:jc w:val="both"/>
            <w:rPr>
              <w:rFonts w:eastAsiaTheme="minorEastAsia"/>
              <w:bCs w:val="0"/>
              <w:i w:val="0"/>
              <w:color w:val="auto"/>
              <w:lang w:eastAsia="en-TT"/>
            </w:rPr>
          </w:pPr>
          <w:hyperlink w:anchor="_Toc446831632" w:history="1">
            <w:r w:rsidR="00CF4D24" w:rsidRPr="00B80AAA">
              <w:rPr>
                <w:rStyle w:val="Hyperlink"/>
              </w:rPr>
              <w:t>3.3.1 Article 4- Violation of the Right to Life in respect of Edmundo Camana and his family</w:t>
            </w:r>
            <w:r w:rsidR="00CF4D24" w:rsidRPr="00B80AAA">
              <w:rPr>
                <w:webHidden/>
              </w:rPr>
              <w:tab/>
            </w:r>
            <w:r w:rsidR="00CF4D24" w:rsidRPr="00B80AAA">
              <w:rPr>
                <w:webHidden/>
              </w:rPr>
              <w:fldChar w:fldCharType="begin"/>
            </w:r>
            <w:r w:rsidR="00CF4D24" w:rsidRPr="00B80AAA">
              <w:rPr>
                <w:webHidden/>
              </w:rPr>
              <w:instrText xml:space="preserve"> PAGEREF _Toc446831632 \h </w:instrText>
            </w:r>
            <w:r w:rsidR="00CF4D24" w:rsidRPr="00B80AAA">
              <w:rPr>
                <w:webHidden/>
              </w:rPr>
            </w:r>
            <w:r w:rsidR="00CF4D24" w:rsidRPr="00B80AAA">
              <w:rPr>
                <w:webHidden/>
              </w:rPr>
              <w:fldChar w:fldCharType="separate"/>
            </w:r>
            <w:r w:rsidR="00C243EA">
              <w:rPr>
                <w:webHidden/>
              </w:rPr>
              <w:t>21</w:t>
            </w:r>
            <w:r w:rsidR="00CF4D24" w:rsidRPr="00B80AAA">
              <w:rPr>
                <w:webHidden/>
              </w:rPr>
              <w:fldChar w:fldCharType="end"/>
            </w:r>
          </w:hyperlink>
        </w:p>
        <w:p w:rsidR="00CF4D24" w:rsidRPr="00B80AAA" w:rsidRDefault="00DB0AC4" w:rsidP="00B80AAA">
          <w:pPr>
            <w:pStyle w:val="TOC3"/>
            <w:tabs>
              <w:tab w:val="left" w:pos="0"/>
            </w:tabs>
            <w:spacing w:line="480" w:lineRule="auto"/>
            <w:ind w:left="0"/>
            <w:jc w:val="both"/>
            <w:rPr>
              <w:rFonts w:eastAsiaTheme="minorEastAsia"/>
              <w:bCs w:val="0"/>
              <w:i w:val="0"/>
              <w:color w:val="auto"/>
              <w:lang w:eastAsia="en-TT"/>
            </w:rPr>
          </w:pPr>
          <w:hyperlink w:anchor="_Toc446831633" w:history="1">
            <w:r w:rsidR="00CF4D24" w:rsidRPr="00B80AAA">
              <w:rPr>
                <w:rStyle w:val="Hyperlink"/>
                <w:rFonts w:eastAsia="Times New Roman"/>
                <w:lang w:eastAsia="en-TT"/>
              </w:rPr>
              <w:t>3.3.2 Article 5- Violation of the Right to Humane Treatment in respect of Edmundo Camana and his Family</w:t>
            </w:r>
            <w:r w:rsidR="00CF4D24" w:rsidRPr="00B80AAA">
              <w:rPr>
                <w:webHidden/>
              </w:rPr>
              <w:tab/>
            </w:r>
            <w:r w:rsidR="00CF4D24" w:rsidRPr="00B80AAA">
              <w:rPr>
                <w:webHidden/>
              </w:rPr>
              <w:fldChar w:fldCharType="begin"/>
            </w:r>
            <w:r w:rsidR="00CF4D24" w:rsidRPr="00B80AAA">
              <w:rPr>
                <w:webHidden/>
              </w:rPr>
              <w:instrText xml:space="preserve"> PAGEREF _Toc446831633 \h </w:instrText>
            </w:r>
            <w:r w:rsidR="00CF4D24" w:rsidRPr="00B80AAA">
              <w:rPr>
                <w:webHidden/>
              </w:rPr>
            </w:r>
            <w:r w:rsidR="00CF4D24" w:rsidRPr="00B80AAA">
              <w:rPr>
                <w:webHidden/>
              </w:rPr>
              <w:fldChar w:fldCharType="separate"/>
            </w:r>
            <w:r w:rsidR="00C243EA">
              <w:rPr>
                <w:webHidden/>
              </w:rPr>
              <w:t>25</w:t>
            </w:r>
            <w:r w:rsidR="00CF4D24" w:rsidRPr="00B80AAA">
              <w:rPr>
                <w:webHidden/>
              </w:rPr>
              <w:fldChar w:fldCharType="end"/>
            </w:r>
          </w:hyperlink>
        </w:p>
        <w:p w:rsidR="00CF4D24" w:rsidRPr="00B80AAA" w:rsidRDefault="00DB0AC4" w:rsidP="00B80AAA">
          <w:pPr>
            <w:pStyle w:val="TOC3"/>
            <w:tabs>
              <w:tab w:val="left" w:pos="0"/>
            </w:tabs>
            <w:spacing w:line="480" w:lineRule="auto"/>
            <w:ind w:left="0"/>
            <w:jc w:val="both"/>
            <w:rPr>
              <w:rFonts w:eastAsiaTheme="minorEastAsia"/>
              <w:bCs w:val="0"/>
              <w:i w:val="0"/>
              <w:color w:val="auto"/>
              <w:lang w:eastAsia="en-TT"/>
            </w:rPr>
          </w:pPr>
          <w:hyperlink w:anchor="_Toc446831634" w:history="1">
            <w:r w:rsidR="00CF4D24" w:rsidRPr="00B80AAA">
              <w:rPr>
                <w:rStyle w:val="Hyperlink"/>
                <w:rFonts w:eastAsia="Times New Roman"/>
                <w:lang w:eastAsia="en-TT"/>
              </w:rPr>
              <w:t>3.3.3 Article 5.1- Violation of the Right to Humane Treatment in respect of the immediate relatives of Edmundo Camana and his family</w:t>
            </w:r>
            <w:r w:rsidR="00CF4D24" w:rsidRPr="00B80AAA">
              <w:rPr>
                <w:webHidden/>
              </w:rPr>
              <w:tab/>
            </w:r>
            <w:r w:rsidR="00CF4D24" w:rsidRPr="00B80AAA">
              <w:rPr>
                <w:webHidden/>
              </w:rPr>
              <w:fldChar w:fldCharType="begin"/>
            </w:r>
            <w:r w:rsidR="00CF4D24" w:rsidRPr="00B80AAA">
              <w:rPr>
                <w:webHidden/>
              </w:rPr>
              <w:instrText xml:space="preserve"> PAGEREF _Toc446831634 \h </w:instrText>
            </w:r>
            <w:r w:rsidR="00CF4D24" w:rsidRPr="00B80AAA">
              <w:rPr>
                <w:webHidden/>
              </w:rPr>
            </w:r>
            <w:r w:rsidR="00CF4D24" w:rsidRPr="00B80AAA">
              <w:rPr>
                <w:webHidden/>
              </w:rPr>
              <w:fldChar w:fldCharType="separate"/>
            </w:r>
            <w:r w:rsidR="00C243EA">
              <w:rPr>
                <w:webHidden/>
              </w:rPr>
              <w:t>25</w:t>
            </w:r>
            <w:r w:rsidR="00CF4D24" w:rsidRPr="00B80AAA">
              <w:rPr>
                <w:webHidden/>
              </w:rPr>
              <w:fldChar w:fldCharType="end"/>
            </w:r>
          </w:hyperlink>
        </w:p>
        <w:p w:rsidR="00CF4D24" w:rsidRPr="00B80AAA" w:rsidRDefault="00DB0AC4" w:rsidP="00B80AAA">
          <w:pPr>
            <w:pStyle w:val="TOC3"/>
            <w:tabs>
              <w:tab w:val="left" w:pos="0"/>
            </w:tabs>
            <w:spacing w:line="480" w:lineRule="auto"/>
            <w:ind w:left="0"/>
            <w:jc w:val="both"/>
            <w:rPr>
              <w:rFonts w:eastAsiaTheme="minorEastAsia"/>
              <w:bCs w:val="0"/>
              <w:i w:val="0"/>
              <w:color w:val="auto"/>
              <w:lang w:eastAsia="en-TT"/>
            </w:rPr>
          </w:pPr>
          <w:hyperlink w:anchor="_Toc446831635" w:history="1">
            <w:r w:rsidR="00CF4D24" w:rsidRPr="00B80AAA">
              <w:rPr>
                <w:rStyle w:val="Hyperlink"/>
              </w:rPr>
              <w:t>3.3.4 Article 16- Violation of the Right to Association in respect of Edmundo Camana and his Family</w:t>
            </w:r>
            <w:r w:rsidR="00CF4D24" w:rsidRPr="00B80AAA">
              <w:rPr>
                <w:webHidden/>
              </w:rPr>
              <w:tab/>
            </w:r>
            <w:r w:rsidR="00CF4D24" w:rsidRPr="00B80AAA">
              <w:rPr>
                <w:webHidden/>
              </w:rPr>
              <w:fldChar w:fldCharType="begin"/>
            </w:r>
            <w:r w:rsidR="00CF4D24" w:rsidRPr="00B80AAA">
              <w:rPr>
                <w:webHidden/>
              </w:rPr>
              <w:instrText xml:space="preserve"> PAGEREF _Toc446831635 \h </w:instrText>
            </w:r>
            <w:r w:rsidR="00CF4D24" w:rsidRPr="00B80AAA">
              <w:rPr>
                <w:webHidden/>
              </w:rPr>
            </w:r>
            <w:r w:rsidR="00CF4D24" w:rsidRPr="00B80AAA">
              <w:rPr>
                <w:webHidden/>
              </w:rPr>
              <w:fldChar w:fldCharType="separate"/>
            </w:r>
            <w:r w:rsidR="00C243EA">
              <w:rPr>
                <w:webHidden/>
              </w:rPr>
              <w:t>26</w:t>
            </w:r>
            <w:r w:rsidR="00CF4D24" w:rsidRPr="00B80AAA">
              <w:rPr>
                <w:webHidden/>
              </w:rPr>
              <w:fldChar w:fldCharType="end"/>
            </w:r>
          </w:hyperlink>
        </w:p>
        <w:p w:rsidR="00CF4D24" w:rsidRPr="00B80AAA" w:rsidRDefault="00DB0AC4" w:rsidP="00B80AAA">
          <w:pPr>
            <w:pStyle w:val="TOC3"/>
            <w:tabs>
              <w:tab w:val="left" w:pos="0"/>
            </w:tabs>
            <w:spacing w:line="480" w:lineRule="auto"/>
            <w:ind w:left="0"/>
            <w:jc w:val="both"/>
            <w:rPr>
              <w:rFonts w:eastAsiaTheme="minorEastAsia"/>
              <w:bCs w:val="0"/>
              <w:i w:val="0"/>
              <w:color w:val="auto"/>
              <w:lang w:eastAsia="en-TT"/>
            </w:rPr>
          </w:pPr>
          <w:hyperlink w:anchor="_Toc446831636" w:history="1">
            <w:r w:rsidR="00CF4D24" w:rsidRPr="00B80AAA">
              <w:rPr>
                <w:rStyle w:val="Hyperlink"/>
              </w:rPr>
              <w:t>3.3.5 Article 17- Violation of the Right to Family in respect of Edmundo Camana and his Family</w:t>
            </w:r>
            <w:r w:rsidR="00CF4D24" w:rsidRPr="00B80AAA">
              <w:rPr>
                <w:webHidden/>
              </w:rPr>
              <w:tab/>
            </w:r>
            <w:r w:rsidR="00CF4D24" w:rsidRPr="00B80AAA">
              <w:rPr>
                <w:webHidden/>
              </w:rPr>
              <w:fldChar w:fldCharType="begin"/>
            </w:r>
            <w:r w:rsidR="00CF4D24" w:rsidRPr="00B80AAA">
              <w:rPr>
                <w:webHidden/>
              </w:rPr>
              <w:instrText xml:space="preserve"> PAGEREF _Toc446831636 \h </w:instrText>
            </w:r>
            <w:r w:rsidR="00CF4D24" w:rsidRPr="00B80AAA">
              <w:rPr>
                <w:webHidden/>
              </w:rPr>
            </w:r>
            <w:r w:rsidR="00CF4D24" w:rsidRPr="00B80AAA">
              <w:rPr>
                <w:webHidden/>
              </w:rPr>
              <w:fldChar w:fldCharType="separate"/>
            </w:r>
            <w:r w:rsidR="00C243EA">
              <w:rPr>
                <w:webHidden/>
              </w:rPr>
              <w:t>27</w:t>
            </w:r>
            <w:r w:rsidR="00CF4D24" w:rsidRPr="00B80AAA">
              <w:rPr>
                <w:webHidden/>
              </w:rPr>
              <w:fldChar w:fldCharType="end"/>
            </w:r>
          </w:hyperlink>
        </w:p>
        <w:p w:rsidR="00CF4D24" w:rsidRPr="00B80AAA" w:rsidRDefault="00DB0AC4" w:rsidP="00B80AAA">
          <w:pPr>
            <w:pStyle w:val="TOC3"/>
            <w:tabs>
              <w:tab w:val="left" w:pos="0"/>
            </w:tabs>
            <w:spacing w:line="480" w:lineRule="auto"/>
            <w:ind w:left="0"/>
            <w:jc w:val="both"/>
            <w:rPr>
              <w:rFonts w:eastAsiaTheme="minorEastAsia"/>
              <w:bCs w:val="0"/>
              <w:i w:val="0"/>
              <w:color w:val="auto"/>
              <w:lang w:eastAsia="en-TT"/>
            </w:rPr>
          </w:pPr>
          <w:hyperlink w:anchor="_Toc446831637" w:history="1">
            <w:r w:rsidR="00CF4D24" w:rsidRPr="00B80AAA">
              <w:rPr>
                <w:rStyle w:val="Hyperlink"/>
              </w:rPr>
              <w:t>3.3.6 Articles 8 and Article 25- Violation of the Rights to Fair Trial and Judicial Protection in respect of Edmundo Camana and his Family</w:t>
            </w:r>
            <w:r w:rsidR="00CF4D24" w:rsidRPr="00B80AAA">
              <w:rPr>
                <w:webHidden/>
              </w:rPr>
              <w:tab/>
            </w:r>
            <w:r w:rsidR="00CF4D24" w:rsidRPr="00B80AAA">
              <w:rPr>
                <w:webHidden/>
              </w:rPr>
              <w:fldChar w:fldCharType="begin"/>
            </w:r>
            <w:r w:rsidR="00CF4D24" w:rsidRPr="00B80AAA">
              <w:rPr>
                <w:webHidden/>
              </w:rPr>
              <w:instrText xml:space="preserve"> PAGEREF _Toc446831637 \h </w:instrText>
            </w:r>
            <w:r w:rsidR="00CF4D24" w:rsidRPr="00B80AAA">
              <w:rPr>
                <w:webHidden/>
              </w:rPr>
            </w:r>
            <w:r w:rsidR="00CF4D24" w:rsidRPr="00B80AAA">
              <w:rPr>
                <w:webHidden/>
              </w:rPr>
              <w:fldChar w:fldCharType="separate"/>
            </w:r>
            <w:r w:rsidR="00C243EA">
              <w:rPr>
                <w:webHidden/>
              </w:rPr>
              <w:t>28</w:t>
            </w:r>
            <w:r w:rsidR="00CF4D24" w:rsidRPr="00B80AAA">
              <w:rPr>
                <w:webHidden/>
              </w:rPr>
              <w:fldChar w:fldCharType="end"/>
            </w:r>
          </w:hyperlink>
        </w:p>
        <w:p w:rsidR="00CF4D24" w:rsidRPr="00B80AAA" w:rsidRDefault="00DB0AC4" w:rsidP="00B80AAA">
          <w:pPr>
            <w:pStyle w:val="TOC2"/>
            <w:tabs>
              <w:tab w:val="left" w:pos="0"/>
            </w:tabs>
            <w:ind w:left="0"/>
            <w:rPr>
              <w:rFonts w:eastAsiaTheme="minorEastAsia"/>
              <w:b w:val="0"/>
              <w:i w:val="0"/>
            </w:rPr>
          </w:pPr>
          <w:hyperlink w:anchor="_Toc446831638" w:history="1">
            <w:r w:rsidR="00CF4D24" w:rsidRPr="00B80AAA">
              <w:rPr>
                <w:rStyle w:val="Hyperlink"/>
              </w:rPr>
              <w:t>3.4 Santa Clara has violated Articles 5, 8, 21, and 25 of the American Convention, all read in conjunction with Articles 1(1) and 2 in respect of the Pichicha people.</w:t>
            </w:r>
            <w:r w:rsidR="00CF4D24" w:rsidRPr="00B80AAA">
              <w:rPr>
                <w:webHidden/>
              </w:rPr>
              <w:tab/>
            </w:r>
            <w:r w:rsidR="00CF4D24" w:rsidRPr="00B80AAA">
              <w:rPr>
                <w:webHidden/>
              </w:rPr>
              <w:fldChar w:fldCharType="begin"/>
            </w:r>
            <w:r w:rsidR="00CF4D24" w:rsidRPr="00B80AAA">
              <w:rPr>
                <w:webHidden/>
              </w:rPr>
              <w:instrText xml:space="preserve"> PAGEREF _Toc446831638 \h </w:instrText>
            </w:r>
            <w:r w:rsidR="00CF4D24" w:rsidRPr="00B80AAA">
              <w:rPr>
                <w:webHidden/>
              </w:rPr>
            </w:r>
            <w:r w:rsidR="00CF4D24" w:rsidRPr="00B80AAA">
              <w:rPr>
                <w:webHidden/>
              </w:rPr>
              <w:fldChar w:fldCharType="separate"/>
            </w:r>
            <w:r w:rsidR="00C243EA">
              <w:rPr>
                <w:webHidden/>
              </w:rPr>
              <w:t>31</w:t>
            </w:r>
            <w:r w:rsidR="00CF4D24" w:rsidRPr="00B80AAA">
              <w:rPr>
                <w:webHidden/>
              </w:rPr>
              <w:fldChar w:fldCharType="end"/>
            </w:r>
          </w:hyperlink>
        </w:p>
        <w:p w:rsidR="00CF4D24" w:rsidRPr="00B80AAA" w:rsidRDefault="00DB0AC4" w:rsidP="00B80AAA">
          <w:pPr>
            <w:pStyle w:val="TOC3"/>
            <w:tabs>
              <w:tab w:val="left" w:pos="0"/>
            </w:tabs>
            <w:spacing w:line="480" w:lineRule="auto"/>
            <w:ind w:left="0"/>
            <w:jc w:val="both"/>
            <w:rPr>
              <w:rFonts w:eastAsiaTheme="minorEastAsia"/>
              <w:bCs w:val="0"/>
              <w:i w:val="0"/>
              <w:color w:val="auto"/>
              <w:lang w:eastAsia="en-TT"/>
            </w:rPr>
          </w:pPr>
          <w:hyperlink w:anchor="_Toc446831639" w:history="1">
            <w:r w:rsidR="00CF4D24" w:rsidRPr="00B80AAA">
              <w:rPr>
                <w:rStyle w:val="Hyperlink"/>
              </w:rPr>
              <w:t>3.4.1. Article 5- Violation of the Pichicha people’s Right to Humane Treatment</w:t>
            </w:r>
            <w:r w:rsidR="00CF4D24" w:rsidRPr="00B80AAA">
              <w:rPr>
                <w:webHidden/>
              </w:rPr>
              <w:tab/>
            </w:r>
            <w:r w:rsidR="00CF4D24" w:rsidRPr="00B80AAA">
              <w:rPr>
                <w:webHidden/>
              </w:rPr>
              <w:fldChar w:fldCharType="begin"/>
            </w:r>
            <w:r w:rsidR="00CF4D24" w:rsidRPr="00B80AAA">
              <w:rPr>
                <w:webHidden/>
              </w:rPr>
              <w:instrText xml:space="preserve"> PAGEREF _Toc446831639 \h </w:instrText>
            </w:r>
            <w:r w:rsidR="00CF4D24" w:rsidRPr="00B80AAA">
              <w:rPr>
                <w:webHidden/>
              </w:rPr>
            </w:r>
            <w:r w:rsidR="00CF4D24" w:rsidRPr="00B80AAA">
              <w:rPr>
                <w:webHidden/>
              </w:rPr>
              <w:fldChar w:fldCharType="separate"/>
            </w:r>
            <w:r w:rsidR="00C243EA">
              <w:rPr>
                <w:webHidden/>
              </w:rPr>
              <w:t>31</w:t>
            </w:r>
            <w:r w:rsidR="00CF4D24" w:rsidRPr="00B80AAA">
              <w:rPr>
                <w:webHidden/>
              </w:rPr>
              <w:fldChar w:fldCharType="end"/>
            </w:r>
          </w:hyperlink>
        </w:p>
        <w:p w:rsidR="00CF4D24" w:rsidRPr="00B80AAA" w:rsidRDefault="00DB0AC4" w:rsidP="00B80AAA">
          <w:pPr>
            <w:pStyle w:val="TOC3"/>
            <w:tabs>
              <w:tab w:val="left" w:pos="0"/>
            </w:tabs>
            <w:spacing w:line="480" w:lineRule="auto"/>
            <w:ind w:left="0"/>
            <w:jc w:val="both"/>
            <w:rPr>
              <w:rFonts w:eastAsiaTheme="minorEastAsia"/>
              <w:bCs w:val="0"/>
              <w:i w:val="0"/>
              <w:color w:val="auto"/>
              <w:lang w:eastAsia="en-TT"/>
            </w:rPr>
          </w:pPr>
          <w:hyperlink w:anchor="_Toc446831640" w:history="1">
            <w:r w:rsidR="00CF4D24" w:rsidRPr="00B80AAA">
              <w:rPr>
                <w:rStyle w:val="Hyperlink"/>
                <w:rFonts w:eastAsiaTheme="majorEastAsia"/>
              </w:rPr>
              <w:t>3.4.2 Article 8-Violation of the Right to Fair Trial in respect of the Pichicha people</w:t>
            </w:r>
            <w:r w:rsidR="00CF4D24" w:rsidRPr="00B80AAA">
              <w:rPr>
                <w:webHidden/>
              </w:rPr>
              <w:tab/>
            </w:r>
            <w:r w:rsidR="00CF4D24" w:rsidRPr="00B80AAA">
              <w:rPr>
                <w:webHidden/>
              </w:rPr>
              <w:fldChar w:fldCharType="begin"/>
            </w:r>
            <w:r w:rsidR="00CF4D24" w:rsidRPr="00B80AAA">
              <w:rPr>
                <w:webHidden/>
              </w:rPr>
              <w:instrText xml:space="preserve"> PAGEREF _Toc446831640 \h </w:instrText>
            </w:r>
            <w:r w:rsidR="00CF4D24" w:rsidRPr="00B80AAA">
              <w:rPr>
                <w:webHidden/>
              </w:rPr>
            </w:r>
            <w:r w:rsidR="00CF4D24" w:rsidRPr="00B80AAA">
              <w:rPr>
                <w:webHidden/>
              </w:rPr>
              <w:fldChar w:fldCharType="separate"/>
            </w:r>
            <w:r w:rsidR="00C243EA">
              <w:rPr>
                <w:webHidden/>
              </w:rPr>
              <w:t>33</w:t>
            </w:r>
            <w:r w:rsidR="00CF4D24" w:rsidRPr="00B80AAA">
              <w:rPr>
                <w:webHidden/>
              </w:rPr>
              <w:fldChar w:fldCharType="end"/>
            </w:r>
          </w:hyperlink>
        </w:p>
        <w:p w:rsidR="00CF4D24" w:rsidRPr="00B80AAA" w:rsidRDefault="00DB0AC4" w:rsidP="00B80AAA">
          <w:pPr>
            <w:pStyle w:val="TOC3"/>
            <w:tabs>
              <w:tab w:val="left" w:pos="0"/>
            </w:tabs>
            <w:spacing w:line="480" w:lineRule="auto"/>
            <w:ind w:left="0"/>
            <w:jc w:val="both"/>
            <w:rPr>
              <w:rFonts w:eastAsiaTheme="minorEastAsia"/>
              <w:bCs w:val="0"/>
              <w:i w:val="0"/>
              <w:color w:val="auto"/>
              <w:lang w:eastAsia="en-TT"/>
            </w:rPr>
          </w:pPr>
          <w:hyperlink w:anchor="_Toc446831641" w:history="1">
            <w:r w:rsidR="00CF4D24" w:rsidRPr="00B80AAA">
              <w:rPr>
                <w:rStyle w:val="Hyperlink"/>
                <w:rFonts w:eastAsiaTheme="majorEastAsia"/>
              </w:rPr>
              <w:t>3.4.3 Article 21-Violation the Right to Property in respect of the Pichicha people</w:t>
            </w:r>
            <w:r w:rsidR="00CF4D24" w:rsidRPr="00B80AAA">
              <w:rPr>
                <w:webHidden/>
              </w:rPr>
              <w:tab/>
            </w:r>
            <w:r w:rsidR="00CF4D24" w:rsidRPr="00B80AAA">
              <w:rPr>
                <w:webHidden/>
              </w:rPr>
              <w:fldChar w:fldCharType="begin"/>
            </w:r>
            <w:r w:rsidR="00CF4D24" w:rsidRPr="00B80AAA">
              <w:rPr>
                <w:webHidden/>
              </w:rPr>
              <w:instrText xml:space="preserve"> PAGEREF _Toc446831641 \h </w:instrText>
            </w:r>
            <w:r w:rsidR="00CF4D24" w:rsidRPr="00B80AAA">
              <w:rPr>
                <w:webHidden/>
              </w:rPr>
            </w:r>
            <w:r w:rsidR="00CF4D24" w:rsidRPr="00B80AAA">
              <w:rPr>
                <w:webHidden/>
              </w:rPr>
              <w:fldChar w:fldCharType="separate"/>
            </w:r>
            <w:r w:rsidR="00C243EA">
              <w:rPr>
                <w:webHidden/>
              </w:rPr>
              <w:t>34</w:t>
            </w:r>
            <w:r w:rsidR="00CF4D24" w:rsidRPr="00B80AAA">
              <w:rPr>
                <w:webHidden/>
              </w:rPr>
              <w:fldChar w:fldCharType="end"/>
            </w:r>
          </w:hyperlink>
        </w:p>
        <w:p w:rsidR="00CF4D24" w:rsidRPr="00B80AAA" w:rsidRDefault="00DB0AC4" w:rsidP="00B80AAA">
          <w:pPr>
            <w:pStyle w:val="TOC3"/>
            <w:tabs>
              <w:tab w:val="left" w:pos="0"/>
            </w:tabs>
            <w:spacing w:line="480" w:lineRule="auto"/>
            <w:ind w:left="0"/>
            <w:jc w:val="both"/>
            <w:rPr>
              <w:rFonts w:eastAsiaTheme="minorEastAsia"/>
              <w:bCs w:val="0"/>
              <w:i w:val="0"/>
              <w:color w:val="auto"/>
              <w:lang w:eastAsia="en-TT"/>
            </w:rPr>
          </w:pPr>
          <w:hyperlink w:anchor="_Toc446831642" w:history="1">
            <w:r w:rsidR="00CF4D24" w:rsidRPr="00B80AAA">
              <w:rPr>
                <w:rStyle w:val="Hyperlink"/>
                <w:rFonts w:eastAsiaTheme="majorEastAsia"/>
              </w:rPr>
              <w:t>3.4.4 Article 25-Violation of the Right to Judicial Protection in respect of the Pichicha people</w:t>
            </w:r>
            <w:r w:rsidR="00CF4D24" w:rsidRPr="00B80AAA">
              <w:rPr>
                <w:webHidden/>
              </w:rPr>
              <w:tab/>
            </w:r>
            <w:r w:rsidR="00CF4D24" w:rsidRPr="00B80AAA">
              <w:rPr>
                <w:webHidden/>
              </w:rPr>
              <w:fldChar w:fldCharType="begin"/>
            </w:r>
            <w:r w:rsidR="00CF4D24" w:rsidRPr="00B80AAA">
              <w:rPr>
                <w:webHidden/>
              </w:rPr>
              <w:instrText xml:space="preserve"> PAGEREF _Toc446831642 \h </w:instrText>
            </w:r>
            <w:r w:rsidR="00CF4D24" w:rsidRPr="00B80AAA">
              <w:rPr>
                <w:webHidden/>
              </w:rPr>
            </w:r>
            <w:r w:rsidR="00CF4D24" w:rsidRPr="00B80AAA">
              <w:rPr>
                <w:webHidden/>
              </w:rPr>
              <w:fldChar w:fldCharType="separate"/>
            </w:r>
            <w:r w:rsidR="00C243EA">
              <w:rPr>
                <w:webHidden/>
              </w:rPr>
              <w:t>36</w:t>
            </w:r>
            <w:r w:rsidR="00CF4D24" w:rsidRPr="00B80AAA">
              <w:rPr>
                <w:webHidden/>
              </w:rPr>
              <w:fldChar w:fldCharType="end"/>
            </w:r>
          </w:hyperlink>
        </w:p>
        <w:p w:rsidR="00CF4D24" w:rsidRPr="00B80AAA" w:rsidRDefault="00DB0AC4" w:rsidP="00B80AAA">
          <w:pPr>
            <w:pStyle w:val="TOC3"/>
            <w:tabs>
              <w:tab w:val="left" w:pos="0"/>
            </w:tabs>
            <w:spacing w:line="480" w:lineRule="auto"/>
            <w:ind w:left="0"/>
            <w:jc w:val="both"/>
            <w:rPr>
              <w:rFonts w:eastAsiaTheme="minorEastAsia"/>
              <w:bCs w:val="0"/>
              <w:i w:val="0"/>
              <w:color w:val="auto"/>
              <w:lang w:eastAsia="en-TT"/>
            </w:rPr>
          </w:pPr>
          <w:hyperlink w:anchor="_Toc446831643" w:history="1">
            <w:r w:rsidR="00CF4D24" w:rsidRPr="00B80AAA">
              <w:rPr>
                <w:rStyle w:val="Hyperlink"/>
                <w:rFonts w:eastAsiaTheme="majorEastAsia"/>
              </w:rPr>
              <w:t>3.4.5 Article 26-Violation of the Right to Progressive Development in respect of the Pichicha people</w:t>
            </w:r>
            <w:r w:rsidR="00CF4D24" w:rsidRPr="00B80AAA">
              <w:rPr>
                <w:webHidden/>
              </w:rPr>
              <w:tab/>
            </w:r>
            <w:r w:rsidR="00CF4D24" w:rsidRPr="00B80AAA">
              <w:rPr>
                <w:webHidden/>
              </w:rPr>
              <w:fldChar w:fldCharType="begin"/>
            </w:r>
            <w:r w:rsidR="00CF4D24" w:rsidRPr="00B80AAA">
              <w:rPr>
                <w:webHidden/>
              </w:rPr>
              <w:instrText xml:space="preserve"> PAGEREF _Toc446831643 \h </w:instrText>
            </w:r>
            <w:r w:rsidR="00CF4D24" w:rsidRPr="00B80AAA">
              <w:rPr>
                <w:webHidden/>
              </w:rPr>
            </w:r>
            <w:r w:rsidR="00CF4D24" w:rsidRPr="00B80AAA">
              <w:rPr>
                <w:webHidden/>
              </w:rPr>
              <w:fldChar w:fldCharType="separate"/>
            </w:r>
            <w:r w:rsidR="00C243EA">
              <w:rPr>
                <w:webHidden/>
              </w:rPr>
              <w:t>37</w:t>
            </w:r>
            <w:r w:rsidR="00CF4D24" w:rsidRPr="00B80AAA">
              <w:rPr>
                <w:webHidden/>
              </w:rPr>
              <w:fldChar w:fldCharType="end"/>
            </w:r>
          </w:hyperlink>
        </w:p>
        <w:p w:rsidR="00CF4D24" w:rsidRPr="00B80AAA" w:rsidRDefault="00DB0AC4" w:rsidP="00B80AAA">
          <w:pPr>
            <w:pStyle w:val="TOC2"/>
            <w:tabs>
              <w:tab w:val="left" w:pos="0"/>
            </w:tabs>
            <w:ind w:left="0"/>
            <w:rPr>
              <w:rFonts w:eastAsiaTheme="minorEastAsia"/>
              <w:b w:val="0"/>
              <w:i w:val="0"/>
            </w:rPr>
          </w:pPr>
          <w:hyperlink w:anchor="_Toc446831644" w:history="1">
            <w:r w:rsidR="00CF4D24" w:rsidRPr="00B80AAA">
              <w:rPr>
                <w:rStyle w:val="Hyperlink"/>
              </w:rPr>
              <w:t>3.5 Santa Clara has violated Articles 8 and 25 of the American Convention, all read in conjunction with Articles 1(1) and 2 in respect of the Orífuna people.</w:t>
            </w:r>
            <w:r w:rsidR="00CF4D24" w:rsidRPr="00B80AAA">
              <w:rPr>
                <w:webHidden/>
              </w:rPr>
              <w:tab/>
            </w:r>
            <w:r w:rsidR="00CF4D24" w:rsidRPr="00B80AAA">
              <w:rPr>
                <w:webHidden/>
              </w:rPr>
              <w:fldChar w:fldCharType="begin"/>
            </w:r>
            <w:r w:rsidR="00CF4D24" w:rsidRPr="00B80AAA">
              <w:rPr>
                <w:webHidden/>
              </w:rPr>
              <w:instrText xml:space="preserve"> PAGEREF _Toc446831644 \h </w:instrText>
            </w:r>
            <w:r w:rsidR="00CF4D24" w:rsidRPr="00B80AAA">
              <w:rPr>
                <w:webHidden/>
              </w:rPr>
            </w:r>
            <w:r w:rsidR="00CF4D24" w:rsidRPr="00B80AAA">
              <w:rPr>
                <w:webHidden/>
              </w:rPr>
              <w:fldChar w:fldCharType="separate"/>
            </w:r>
            <w:r w:rsidR="00C243EA">
              <w:rPr>
                <w:webHidden/>
              </w:rPr>
              <w:t>38</w:t>
            </w:r>
            <w:r w:rsidR="00CF4D24" w:rsidRPr="00B80AAA">
              <w:rPr>
                <w:webHidden/>
              </w:rPr>
              <w:fldChar w:fldCharType="end"/>
            </w:r>
          </w:hyperlink>
        </w:p>
        <w:p w:rsidR="00CF4D24" w:rsidRPr="00B80AAA" w:rsidRDefault="00DB0AC4" w:rsidP="00B80AAA">
          <w:pPr>
            <w:pStyle w:val="TOC3"/>
            <w:tabs>
              <w:tab w:val="left" w:pos="0"/>
            </w:tabs>
            <w:spacing w:line="480" w:lineRule="auto"/>
            <w:ind w:left="0"/>
            <w:jc w:val="both"/>
            <w:rPr>
              <w:rFonts w:eastAsiaTheme="minorEastAsia"/>
              <w:bCs w:val="0"/>
              <w:i w:val="0"/>
              <w:color w:val="auto"/>
              <w:lang w:eastAsia="en-TT"/>
            </w:rPr>
          </w:pPr>
          <w:hyperlink w:anchor="_Toc446831645" w:history="1">
            <w:r w:rsidR="00CF4D24" w:rsidRPr="00B80AAA">
              <w:rPr>
                <w:rStyle w:val="Hyperlink"/>
                <w:rFonts w:eastAsiaTheme="majorEastAsia"/>
              </w:rPr>
              <w:t>3.5.1 Article 8 and 25- Violation the Rights to Fair Trial and Judicial Protection in respect of the Orífuna people</w:t>
            </w:r>
            <w:r w:rsidR="00CF4D24" w:rsidRPr="00B80AAA">
              <w:rPr>
                <w:webHidden/>
              </w:rPr>
              <w:tab/>
            </w:r>
            <w:r w:rsidR="00CF4D24" w:rsidRPr="00B80AAA">
              <w:rPr>
                <w:webHidden/>
              </w:rPr>
              <w:fldChar w:fldCharType="begin"/>
            </w:r>
            <w:r w:rsidR="00CF4D24" w:rsidRPr="00B80AAA">
              <w:rPr>
                <w:webHidden/>
              </w:rPr>
              <w:instrText xml:space="preserve"> PAGEREF _Toc446831645 \h </w:instrText>
            </w:r>
            <w:r w:rsidR="00CF4D24" w:rsidRPr="00B80AAA">
              <w:rPr>
                <w:webHidden/>
              </w:rPr>
            </w:r>
            <w:r w:rsidR="00CF4D24" w:rsidRPr="00B80AAA">
              <w:rPr>
                <w:webHidden/>
              </w:rPr>
              <w:fldChar w:fldCharType="separate"/>
            </w:r>
            <w:r w:rsidR="00C243EA">
              <w:rPr>
                <w:webHidden/>
              </w:rPr>
              <w:t>38</w:t>
            </w:r>
            <w:r w:rsidR="00CF4D24" w:rsidRPr="00B80AAA">
              <w:rPr>
                <w:webHidden/>
              </w:rPr>
              <w:fldChar w:fldCharType="end"/>
            </w:r>
          </w:hyperlink>
        </w:p>
        <w:p w:rsidR="00CF4D24" w:rsidRPr="00B80AAA" w:rsidRDefault="00DB0AC4" w:rsidP="00B80AAA">
          <w:pPr>
            <w:pStyle w:val="TOC1"/>
            <w:tabs>
              <w:tab w:val="clear" w:pos="440"/>
              <w:tab w:val="left" w:pos="0"/>
            </w:tabs>
            <w:ind w:left="0" w:firstLine="0"/>
            <w:rPr>
              <w:rFonts w:eastAsiaTheme="minorEastAsia"/>
              <w:b w:val="0"/>
              <w:lang w:eastAsia="en-TT"/>
            </w:rPr>
          </w:pPr>
          <w:hyperlink w:anchor="_Toc446831646" w:history="1">
            <w:r w:rsidR="00CF4D24" w:rsidRPr="00B80AAA">
              <w:rPr>
                <w:rStyle w:val="Hyperlink"/>
              </w:rPr>
              <w:t>4.</w:t>
            </w:r>
            <w:r w:rsidR="00CF4D24" w:rsidRPr="00B80AAA">
              <w:rPr>
                <w:rFonts w:eastAsiaTheme="minorEastAsia"/>
                <w:b w:val="0"/>
                <w:lang w:eastAsia="en-TT"/>
              </w:rPr>
              <w:t xml:space="preserve"> </w:t>
            </w:r>
            <w:r w:rsidR="00CF4D24" w:rsidRPr="00B80AAA">
              <w:rPr>
                <w:rStyle w:val="Hyperlink"/>
              </w:rPr>
              <w:t>REQUEST FOR RELIEF</w:t>
            </w:r>
            <w:r w:rsidR="00CF4D24" w:rsidRPr="00B80AAA">
              <w:rPr>
                <w:webHidden/>
              </w:rPr>
              <w:tab/>
            </w:r>
            <w:r w:rsidR="00CF4D24" w:rsidRPr="00B80AAA">
              <w:rPr>
                <w:webHidden/>
              </w:rPr>
              <w:fldChar w:fldCharType="begin"/>
            </w:r>
            <w:r w:rsidR="00CF4D24" w:rsidRPr="00B80AAA">
              <w:rPr>
                <w:webHidden/>
              </w:rPr>
              <w:instrText xml:space="preserve"> PAGEREF _Toc446831646 \h </w:instrText>
            </w:r>
            <w:r w:rsidR="00CF4D24" w:rsidRPr="00B80AAA">
              <w:rPr>
                <w:webHidden/>
              </w:rPr>
            </w:r>
            <w:r w:rsidR="00CF4D24" w:rsidRPr="00B80AAA">
              <w:rPr>
                <w:webHidden/>
              </w:rPr>
              <w:fldChar w:fldCharType="separate"/>
            </w:r>
            <w:r w:rsidR="00C243EA">
              <w:rPr>
                <w:webHidden/>
              </w:rPr>
              <w:t>39</w:t>
            </w:r>
            <w:r w:rsidR="00CF4D24" w:rsidRPr="00B80AAA">
              <w:rPr>
                <w:webHidden/>
              </w:rPr>
              <w:fldChar w:fldCharType="end"/>
            </w:r>
          </w:hyperlink>
        </w:p>
        <w:p w:rsidR="00274D7B" w:rsidRPr="00B80AAA" w:rsidRDefault="00274D7B" w:rsidP="00B80AAA">
          <w:pPr>
            <w:tabs>
              <w:tab w:val="left" w:pos="0"/>
            </w:tabs>
            <w:spacing w:line="480" w:lineRule="auto"/>
            <w:jc w:val="both"/>
            <w:rPr>
              <w:b/>
              <w:bCs/>
              <w:noProof/>
            </w:rPr>
          </w:pPr>
          <w:r w:rsidRPr="00B80AAA">
            <w:rPr>
              <w:b/>
              <w:bCs/>
              <w:noProof/>
            </w:rPr>
            <w:fldChar w:fldCharType="end"/>
          </w:r>
        </w:p>
      </w:sdtContent>
    </w:sdt>
    <w:p w:rsidR="00EB3ABE" w:rsidRPr="00B80AAA" w:rsidRDefault="00EB3ABE" w:rsidP="00B80AAA">
      <w:pPr>
        <w:pStyle w:val="Heading1"/>
        <w:numPr>
          <w:ilvl w:val="0"/>
          <w:numId w:val="1"/>
        </w:numPr>
        <w:spacing w:line="480" w:lineRule="auto"/>
        <w:ind w:left="0" w:firstLine="0"/>
        <w:jc w:val="both"/>
        <w:rPr>
          <w:rFonts w:ascii="Times New Roman" w:hAnsi="Times New Roman" w:cs="Times New Roman"/>
          <w:color w:val="000000" w:themeColor="text1"/>
          <w:sz w:val="24"/>
          <w:szCs w:val="24"/>
        </w:rPr>
      </w:pPr>
      <w:bookmarkStart w:id="2" w:name="_Toc441798765"/>
      <w:bookmarkStart w:id="3" w:name="_Toc446831619"/>
      <w:r w:rsidRPr="00B80AAA">
        <w:rPr>
          <w:rFonts w:ascii="Times New Roman" w:hAnsi="Times New Roman" w:cs="Times New Roman"/>
          <w:color w:val="000000" w:themeColor="text1"/>
          <w:sz w:val="24"/>
          <w:szCs w:val="24"/>
        </w:rPr>
        <w:lastRenderedPageBreak/>
        <w:t>INDEX OF AUTHORITIES</w:t>
      </w:r>
      <w:bookmarkEnd w:id="1"/>
      <w:bookmarkEnd w:id="2"/>
      <w:bookmarkEnd w:id="3"/>
    </w:p>
    <w:p w:rsidR="002838B7" w:rsidRPr="00B80AAA" w:rsidRDefault="002838B7" w:rsidP="00B80AAA">
      <w:pPr>
        <w:pStyle w:val="Heading2"/>
        <w:numPr>
          <w:ilvl w:val="1"/>
          <w:numId w:val="1"/>
        </w:numPr>
        <w:spacing w:line="480" w:lineRule="auto"/>
        <w:ind w:left="0" w:firstLine="0"/>
        <w:jc w:val="both"/>
        <w:rPr>
          <w:rFonts w:ascii="Times New Roman" w:eastAsia="Times New Roman" w:hAnsi="Times New Roman" w:cs="Times New Roman"/>
          <w:color w:val="000000" w:themeColor="text1"/>
          <w:sz w:val="24"/>
          <w:szCs w:val="24"/>
          <w:lang w:eastAsia="en-TT"/>
        </w:rPr>
      </w:pPr>
      <w:bookmarkStart w:id="4" w:name="_Toc441798766"/>
      <w:bookmarkStart w:id="5" w:name="_Toc446831620"/>
      <w:bookmarkStart w:id="6" w:name="_Toc441798769"/>
      <w:r w:rsidRPr="00B80AAA">
        <w:rPr>
          <w:rFonts w:ascii="Times New Roman" w:eastAsia="Times New Roman" w:hAnsi="Times New Roman" w:cs="Times New Roman"/>
          <w:color w:val="000000" w:themeColor="text1"/>
          <w:sz w:val="24"/>
          <w:szCs w:val="24"/>
          <w:lang w:eastAsia="en-TT"/>
        </w:rPr>
        <w:t>Legal Books and Articles</w:t>
      </w:r>
      <w:bookmarkEnd w:id="4"/>
      <w:bookmarkEnd w:id="5"/>
    </w:p>
    <w:p w:rsidR="002838B7" w:rsidRPr="00B80AAA" w:rsidRDefault="002838B7" w:rsidP="00B80AAA">
      <w:pPr>
        <w:pStyle w:val="Heading2"/>
        <w:numPr>
          <w:ilvl w:val="2"/>
          <w:numId w:val="11"/>
        </w:numPr>
        <w:spacing w:line="480" w:lineRule="auto"/>
        <w:ind w:left="0" w:firstLine="0"/>
        <w:jc w:val="both"/>
        <w:rPr>
          <w:rFonts w:ascii="Times New Roman" w:hAnsi="Times New Roman" w:cs="Times New Roman"/>
          <w:color w:val="000000" w:themeColor="text1"/>
          <w:sz w:val="24"/>
          <w:szCs w:val="24"/>
          <w:lang w:eastAsia="en-TT"/>
        </w:rPr>
      </w:pPr>
      <w:bookmarkStart w:id="7" w:name="_Toc441798768"/>
      <w:bookmarkStart w:id="8" w:name="_Toc446831621"/>
      <w:r w:rsidRPr="00B80AAA">
        <w:rPr>
          <w:rFonts w:ascii="Times New Roman" w:hAnsi="Times New Roman" w:cs="Times New Roman"/>
          <w:color w:val="000000" w:themeColor="text1"/>
          <w:sz w:val="24"/>
          <w:szCs w:val="24"/>
          <w:lang w:eastAsia="en-TT"/>
        </w:rPr>
        <w:t>Articles</w:t>
      </w:r>
      <w:bookmarkEnd w:id="7"/>
      <w:bookmarkEnd w:id="8"/>
    </w:p>
    <w:p w:rsidR="00056061" w:rsidRPr="00B80AAA" w:rsidRDefault="00880C0D" w:rsidP="00B80AAA">
      <w:pPr>
        <w:spacing w:line="480" w:lineRule="auto"/>
        <w:jc w:val="both"/>
        <w:rPr>
          <w:color w:val="000000" w:themeColor="text1"/>
        </w:rPr>
      </w:pPr>
      <w:r w:rsidRPr="00B80AAA">
        <w:rPr>
          <w:color w:val="000000" w:themeColor="text1"/>
        </w:rPr>
        <w:t>Brewer-Carías A,</w:t>
      </w:r>
      <w:r w:rsidR="000E637C" w:rsidRPr="00B80AAA">
        <w:rPr>
          <w:color w:val="000000" w:themeColor="text1"/>
        </w:rPr>
        <w:t xml:space="preserve"> “The Latin American Amparo Proceeding and the Writ of Amparo in the Philippines” City University of Hong </w:t>
      </w:r>
      <w:r w:rsidRPr="00B80AAA">
        <w:rPr>
          <w:color w:val="000000" w:themeColor="text1"/>
        </w:rPr>
        <w:t>Kong Law Review, Vol 1.1…</w:t>
      </w:r>
      <w:r w:rsidR="0013337D" w:rsidRPr="00B80AAA">
        <w:rPr>
          <w:color w:val="000000" w:themeColor="text1"/>
        </w:rPr>
        <w:t>……</w:t>
      </w:r>
      <w:r w:rsidRPr="00B80AAA">
        <w:rPr>
          <w:color w:val="000000" w:themeColor="text1"/>
        </w:rPr>
        <w:t>……………</w:t>
      </w:r>
      <w:r w:rsidR="00DB55C2" w:rsidRPr="00B80AAA">
        <w:rPr>
          <w:color w:val="000000" w:themeColor="text1"/>
        </w:rPr>
        <w:t>……..p. 33</w:t>
      </w:r>
    </w:p>
    <w:p w:rsidR="00894351" w:rsidRPr="00B80AAA" w:rsidRDefault="00880C0D" w:rsidP="00B80AAA">
      <w:pPr>
        <w:spacing w:line="480" w:lineRule="auto"/>
        <w:jc w:val="both"/>
        <w:rPr>
          <w:color w:val="000000" w:themeColor="text1"/>
          <w:lang w:eastAsia="en-TT"/>
        </w:rPr>
      </w:pPr>
      <w:r w:rsidRPr="00B80AAA">
        <w:rPr>
          <w:color w:val="000000" w:themeColor="text1"/>
        </w:rPr>
        <w:t>Cabra</w:t>
      </w:r>
      <w:r w:rsidR="002838B7" w:rsidRPr="00B80AAA">
        <w:rPr>
          <w:color w:val="000000" w:themeColor="text1"/>
        </w:rPr>
        <w:t xml:space="preserve"> M</w:t>
      </w:r>
      <w:r w:rsidRPr="00B80AAA">
        <w:rPr>
          <w:color w:val="000000" w:themeColor="text1"/>
        </w:rPr>
        <w:t>,</w:t>
      </w:r>
      <w:r w:rsidR="002838B7" w:rsidRPr="00B80AAA">
        <w:rPr>
          <w:color w:val="000000" w:themeColor="text1"/>
        </w:rPr>
        <w:t xml:space="preserve"> “Rights and Duties Established by the Ameri</w:t>
      </w:r>
      <w:r w:rsidR="00894351" w:rsidRPr="00B80AAA">
        <w:rPr>
          <w:color w:val="000000" w:themeColor="text1"/>
        </w:rPr>
        <w:t>can Convention on Human Rights” The American University Law Review [Vol. 30: 21 1981]…………</w:t>
      </w:r>
      <w:r w:rsidR="0013337D" w:rsidRPr="00B80AAA">
        <w:rPr>
          <w:color w:val="000000" w:themeColor="text1"/>
        </w:rPr>
        <w:t>……………………</w:t>
      </w:r>
      <w:r w:rsidR="004A72E6" w:rsidRPr="00B80AAA">
        <w:rPr>
          <w:color w:val="000000" w:themeColor="text1"/>
        </w:rPr>
        <w:t>…</w:t>
      </w:r>
      <w:r w:rsidR="00894351" w:rsidRPr="00B80AAA">
        <w:rPr>
          <w:color w:val="000000" w:themeColor="text1"/>
        </w:rPr>
        <w:t>….p.</w:t>
      </w:r>
      <w:r w:rsidR="00DF0348" w:rsidRPr="00B80AAA">
        <w:rPr>
          <w:color w:val="000000" w:themeColor="text1"/>
        </w:rPr>
        <w:t>3</w:t>
      </w:r>
      <w:r w:rsidR="00DB55C2" w:rsidRPr="00B80AAA">
        <w:rPr>
          <w:color w:val="000000" w:themeColor="text1"/>
        </w:rPr>
        <w:t>2, 37</w:t>
      </w:r>
      <w:r w:rsidR="00894351" w:rsidRPr="00B80AAA">
        <w:rPr>
          <w:color w:val="000000" w:themeColor="text1"/>
        </w:rPr>
        <w:t xml:space="preserve"> </w:t>
      </w:r>
    </w:p>
    <w:p w:rsidR="00894351" w:rsidRPr="00B80AAA" w:rsidRDefault="0013337D" w:rsidP="00B80AAA">
      <w:pPr>
        <w:pStyle w:val="FootnoteText"/>
        <w:spacing w:line="480" w:lineRule="auto"/>
        <w:jc w:val="both"/>
        <w:rPr>
          <w:color w:val="000000" w:themeColor="text1"/>
          <w:sz w:val="24"/>
          <w:szCs w:val="24"/>
        </w:rPr>
      </w:pPr>
      <w:r w:rsidRPr="00B80AAA">
        <w:rPr>
          <w:color w:val="000000" w:themeColor="text1"/>
          <w:sz w:val="24"/>
          <w:szCs w:val="24"/>
        </w:rPr>
        <w:t>D’Angelo</w:t>
      </w:r>
      <w:r w:rsidR="002838B7" w:rsidRPr="00B80AAA">
        <w:rPr>
          <w:color w:val="000000" w:themeColor="text1"/>
          <w:sz w:val="24"/>
          <w:szCs w:val="24"/>
        </w:rPr>
        <w:t xml:space="preserve"> G, </w:t>
      </w:r>
      <w:r w:rsidR="00894351" w:rsidRPr="00B80AAA">
        <w:rPr>
          <w:color w:val="000000" w:themeColor="text1"/>
          <w:sz w:val="24"/>
          <w:szCs w:val="24"/>
        </w:rPr>
        <w:t>“The Contemporary Role of the Military Attaché and Problems relating to the Attachment of a Quality Corps.” Master’s Thesis, Texas Tech University……</w:t>
      </w:r>
      <w:r w:rsidRPr="00B80AAA">
        <w:rPr>
          <w:color w:val="000000" w:themeColor="text1"/>
          <w:sz w:val="24"/>
          <w:szCs w:val="24"/>
        </w:rPr>
        <w:t>…..</w:t>
      </w:r>
      <w:r w:rsidR="00894351" w:rsidRPr="00B80AAA">
        <w:rPr>
          <w:color w:val="000000" w:themeColor="text1"/>
          <w:sz w:val="24"/>
          <w:szCs w:val="24"/>
        </w:rPr>
        <w:t>……</w:t>
      </w:r>
      <w:r w:rsidR="003D4717" w:rsidRPr="00B80AAA">
        <w:rPr>
          <w:color w:val="000000" w:themeColor="text1"/>
          <w:sz w:val="24"/>
          <w:szCs w:val="24"/>
        </w:rPr>
        <w:t>…p.24, 30</w:t>
      </w:r>
      <w:r w:rsidR="00894351" w:rsidRPr="00B80AAA">
        <w:rPr>
          <w:color w:val="000000" w:themeColor="text1"/>
          <w:sz w:val="24"/>
          <w:szCs w:val="24"/>
        </w:rPr>
        <w:t xml:space="preserve"> </w:t>
      </w:r>
    </w:p>
    <w:p w:rsidR="002838B7" w:rsidRPr="00B80AAA" w:rsidRDefault="00C37D26" w:rsidP="00B80AAA">
      <w:pPr>
        <w:pStyle w:val="FootnoteText"/>
        <w:spacing w:line="480" w:lineRule="auto"/>
        <w:jc w:val="both"/>
        <w:rPr>
          <w:bCs/>
          <w:iCs/>
          <w:color w:val="000000" w:themeColor="text1"/>
          <w:sz w:val="24"/>
          <w:szCs w:val="24"/>
        </w:rPr>
      </w:pPr>
      <w:r w:rsidRPr="00B80AAA">
        <w:rPr>
          <w:bCs/>
          <w:iCs/>
          <w:color w:val="000000" w:themeColor="text1"/>
          <w:sz w:val="24"/>
          <w:szCs w:val="24"/>
        </w:rPr>
        <w:t>Orrego-</w:t>
      </w:r>
      <w:r w:rsidR="0013337D" w:rsidRPr="00B80AAA">
        <w:rPr>
          <w:bCs/>
          <w:iCs/>
          <w:color w:val="000000" w:themeColor="text1"/>
          <w:sz w:val="24"/>
          <w:szCs w:val="24"/>
        </w:rPr>
        <w:t xml:space="preserve">Hoyos </w:t>
      </w:r>
      <w:r w:rsidR="002838B7" w:rsidRPr="00B80AAA">
        <w:rPr>
          <w:bCs/>
          <w:iCs/>
          <w:color w:val="000000" w:themeColor="text1"/>
          <w:sz w:val="24"/>
          <w:szCs w:val="24"/>
        </w:rPr>
        <w:t>G</w:t>
      </w:r>
      <w:r w:rsidR="0013337D" w:rsidRPr="00B80AAA">
        <w:rPr>
          <w:bCs/>
          <w:iCs/>
          <w:color w:val="000000" w:themeColor="text1"/>
          <w:sz w:val="24"/>
          <w:szCs w:val="24"/>
        </w:rPr>
        <w:t>,</w:t>
      </w:r>
      <w:r w:rsidR="002838B7" w:rsidRPr="00B80AAA">
        <w:rPr>
          <w:bCs/>
          <w:iCs/>
          <w:color w:val="000000" w:themeColor="text1"/>
          <w:sz w:val="24"/>
          <w:szCs w:val="24"/>
        </w:rPr>
        <w:t xml:space="preserve"> “The Amparo Context in Latin American Jurisdiction: An approac</w:t>
      </w:r>
      <w:r w:rsidRPr="00B80AAA">
        <w:rPr>
          <w:bCs/>
          <w:iCs/>
          <w:color w:val="000000" w:themeColor="text1"/>
          <w:sz w:val="24"/>
          <w:szCs w:val="24"/>
        </w:rPr>
        <w:t xml:space="preserve">h to an Empowering action” </w:t>
      </w:r>
      <w:r w:rsidRPr="00B80AAA">
        <w:rPr>
          <w:color w:val="000000" w:themeColor="text1"/>
          <w:sz w:val="24"/>
          <w:szCs w:val="24"/>
          <w:lang w:val="en"/>
        </w:rPr>
        <w:t>(GlobaLex, April 2013)</w:t>
      </w:r>
      <w:r w:rsidR="002838B7" w:rsidRPr="00B80AAA">
        <w:rPr>
          <w:bCs/>
          <w:iCs/>
          <w:color w:val="000000" w:themeColor="text1"/>
          <w:sz w:val="24"/>
          <w:szCs w:val="24"/>
        </w:rPr>
        <w:t>…………………</w:t>
      </w:r>
      <w:r w:rsidR="00225436" w:rsidRPr="00B80AAA">
        <w:rPr>
          <w:bCs/>
          <w:iCs/>
          <w:color w:val="000000" w:themeColor="text1"/>
          <w:sz w:val="24"/>
          <w:szCs w:val="24"/>
        </w:rPr>
        <w:t>………</w:t>
      </w:r>
      <w:r w:rsidRPr="00B80AAA">
        <w:rPr>
          <w:bCs/>
          <w:iCs/>
          <w:color w:val="000000" w:themeColor="text1"/>
          <w:sz w:val="24"/>
          <w:szCs w:val="24"/>
        </w:rPr>
        <w:t>………………………</w:t>
      </w:r>
      <w:r w:rsidR="004E5E1A" w:rsidRPr="00B80AAA">
        <w:rPr>
          <w:bCs/>
          <w:iCs/>
          <w:color w:val="000000" w:themeColor="text1"/>
          <w:sz w:val="24"/>
          <w:szCs w:val="24"/>
        </w:rPr>
        <w:t>p.33</w:t>
      </w:r>
    </w:p>
    <w:p w:rsidR="000D06CA" w:rsidRPr="00B80AAA" w:rsidRDefault="000D06CA" w:rsidP="00B80AAA">
      <w:pPr>
        <w:pStyle w:val="FootnoteText"/>
        <w:spacing w:line="480" w:lineRule="auto"/>
        <w:jc w:val="both"/>
        <w:rPr>
          <w:rFonts w:eastAsia="Times New Roman"/>
          <w:color w:val="000000" w:themeColor="text1"/>
          <w:sz w:val="24"/>
          <w:szCs w:val="24"/>
          <w:lang w:eastAsia="en-TT"/>
        </w:rPr>
      </w:pPr>
      <w:r w:rsidRPr="00B80AAA">
        <w:rPr>
          <w:bCs/>
          <w:iCs/>
          <w:color w:val="000000" w:themeColor="text1"/>
          <w:sz w:val="24"/>
          <w:szCs w:val="24"/>
        </w:rPr>
        <w:t>International Law Commission, “Draft Articles on Responsibility of States for Internationally Wrongful Acts</w:t>
      </w:r>
      <w:r w:rsidR="00C61900">
        <w:rPr>
          <w:bCs/>
          <w:iCs/>
          <w:color w:val="000000" w:themeColor="text1"/>
          <w:sz w:val="24"/>
          <w:szCs w:val="24"/>
        </w:rPr>
        <w:t xml:space="preserve">” </w:t>
      </w:r>
      <w:r w:rsidRPr="00B80AAA">
        <w:rPr>
          <w:bCs/>
          <w:iCs/>
          <w:color w:val="000000" w:themeColor="text1"/>
          <w:sz w:val="24"/>
          <w:szCs w:val="24"/>
        </w:rPr>
        <w:t>November 2001, Supplement No. 10 (A/56/10/10)”. chp. IV.E</w:t>
      </w:r>
      <w:r w:rsidR="00803EAF" w:rsidRPr="00B80AAA">
        <w:rPr>
          <w:bCs/>
          <w:iCs/>
          <w:color w:val="000000" w:themeColor="text1"/>
          <w:sz w:val="24"/>
          <w:szCs w:val="24"/>
        </w:rPr>
        <w:t>.1…</w:t>
      </w:r>
      <w:r w:rsidR="004A72E6" w:rsidRPr="00B80AAA">
        <w:rPr>
          <w:bCs/>
          <w:iCs/>
          <w:color w:val="000000" w:themeColor="text1"/>
          <w:sz w:val="24"/>
          <w:szCs w:val="24"/>
        </w:rPr>
        <w:t>...</w:t>
      </w:r>
      <w:r w:rsidR="00C61900">
        <w:rPr>
          <w:bCs/>
          <w:iCs/>
          <w:color w:val="000000" w:themeColor="text1"/>
          <w:sz w:val="24"/>
          <w:szCs w:val="24"/>
        </w:rPr>
        <w:t>..</w:t>
      </w:r>
      <w:r w:rsidR="00803EAF" w:rsidRPr="00B80AAA">
        <w:rPr>
          <w:bCs/>
          <w:iCs/>
          <w:color w:val="000000" w:themeColor="text1"/>
          <w:sz w:val="24"/>
          <w:szCs w:val="24"/>
        </w:rPr>
        <w:t>..p. 22, 35</w:t>
      </w:r>
    </w:p>
    <w:p w:rsidR="009D7430" w:rsidRPr="00B80AAA" w:rsidRDefault="0013337D" w:rsidP="00B80AAA">
      <w:pPr>
        <w:pStyle w:val="FootnoteText"/>
        <w:spacing w:line="480" w:lineRule="auto"/>
        <w:jc w:val="both"/>
        <w:rPr>
          <w:rFonts w:eastAsia="Times New Roman"/>
          <w:color w:val="000000" w:themeColor="text1"/>
          <w:sz w:val="24"/>
          <w:szCs w:val="24"/>
          <w:lang w:eastAsia="en-TT"/>
        </w:rPr>
      </w:pPr>
      <w:r w:rsidRPr="00B80AAA">
        <w:rPr>
          <w:color w:val="000000" w:themeColor="text1"/>
          <w:sz w:val="24"/>
          <w:szCs w:val="24"/>
          <w:shd w:val="clear" w:color="auto" w:fill="FFFFFF"/>
        </w:rPr>
        <w:t>McCorquodale R, Simons P</w:t>
      </w:r>
      <w:r w:rsidR="00880C0D" w:rsidRPr="00B80AAA">
        <w:rPr>
          <w:color w:val="000000" w:themeColor="text1"/>
          <w:sz w:val="24"/>
          <w:szCs w:val="24"/>
          <w:shd w:val="clear" w:color="auto" w:fill="FFFFFF"/>
        </w:rPr>
        <w:t>,</w:t>
      </w:r>
      <w:r w:rsidR="003A6EF4" w:rsidRPr="00B80AAA">
        <w:rPr>
          <w:color w:val="000000" w:themeColor="text1"/>
          <w:sz w:val="24"/>
          <w:szCs w:val="24"/>
          <w:shd w:val="clear" w:color="auto" w:fill="FFFFFF"/>
        </w:rPr>
        <w:t xml:space="preserve"> “</w:t>
      </w:r>
      <w:r w:rsidR="003A6EF4" w:rsidRPr="00B80AAA">
        <w:rPr>
          <w:rFonts w:eastAsia="Times New Roman"/>
          <w:color w:val="000000" w:themeColor="text1"/>
          <w:sz w:val="24"/>
          <w:szCs w:val="24"/>
          <w:lang w:eastAsia="en-TT"/>
        </w:rPr>
        <w:t>Responsibility Beyond Borders: State Responsibility for Extraterritorial Violations by Corporations of I</w:t>
      </w:r>
      <w:r w:rsidR="00056061" w:rsidRPr="00B80AAA">
        <w:rPr>
          <w:rFonts w:eastAsia="Times New Roman"/>
          <w:color w:val="000000" w:themeColor="text1"/>
          <w:sz w:val="24"/>
          <w:szCs w:val="24"/>
          <w:lang w:eastAsia="en-TT"/>
        </w:rPr>
        <w:t>nternational Human Rights L</w:t>
      </w:r>
      <w:r w:rsidR="00F814A5" w:rsidRPr="00B80AAA">
        <w:rPr>
          <w:rFonts w:eastAsia="Times New Roman"/>
          <w:color w:val="000000" w:themeColor="text1"/>
          <w:sz w:val="24"/>
          <w:szCs w:val="24"/>
          <w:lang w:eastAsia="en-TT"/>
        </w:rPr>
        <w:t>aw” The Modern Law Review Limited (2007)70(4) MLR 598-625………………</w:t>
      </w:r>
      <w:r w:rsidR="004A72E6" w:rsidRPr="00B80AAA">
        <w:rPr>
          <w:rFonts w:eastAsia="Times New Roman"/>
          <w:color w:val="000000" w:themeColor="text1"/>
          <w:sz w:val="24"/>
          <w:szCs w:val="24"/>
          <w:lang w:eastAsia="en-TT"/>
        </w:rPr>
        <w:t>..………………………...</w:t>
      </w:r>
      <w:r w:rsidR="005E22A4" w:rsidRPr="00B80AAA">
        <w:rPr>
          <w:rFonts w:eastAsia="Times New Roman"/>
          <w:color w:val="000000" w:themeColor="text1"/>
          <w:sz w:val="24"/>
          <w:szCs w:val="24"/>
          <w:lang w:eastAsia="en-TT"/>
        </w:rPr>
        <w:t>….p.22</w:t>
      </w:r>
    </w:p>
    <w:p w:rsidR="001713E9" w:rsidRPr="00B80AAA" w:rsidRDefault="0013337D" w:rsidP="00B80AAA">
      <w:pPr>
        <w:pStyle w:val="FootnoteText"/>
        <w:spacing w:line="480" w:lineRule="auto"/>
        <w:jc w:val="both"/>
        <w:rPr>
          <w:rFonts w:eastAsia="Times New Roman"/>
          <w:bCs/>
          <w:iCs/>
          <w:color w:val="000000" w:themeColor="text1"/>
          <w:sz w:val="24"/>
          <w:szCs w:val="24"/>
          <w:lang w:eastAsia="en-TT"/>
        </w:rPr>
      </w:pPr>
      <w:r w:rsidRPr="00B80AAA">
        <w:rPr>
          <w:color w:val="000000" w:themeColor="text1"/>
          <w:sz w:val="24"/>
          <w:szCs w:val="24"/>
        </w:rPr>
        <w:t>Skjelten K</w:t>
      </w:r>
      <w:r w:rsidR="00880C0D" w:rsidRPr="00B80AAA">
        <w:rPr>
          <w:color w:val="000000" w:themeColor="text1"/>
          <w:sz w:val="24"/>
          <w:szCs w:val="24"/>
        </w:rPr>
        <w:t>,</w:t>
      </w:r>
      <w:r w:rsidRPr="00B80AAA">
        <w:rPr>
          <w:color w:val="000000" w:themeColor="text1"/>
          <w:sz w:val="24"/>
          <w:szCs w:val="24"/>
        </w:rPr>
        <w:t xml:space="preserve"> </w:t>
      </w:r>
      <w:r w:rsidR="001713E9" w:rsidRPr="00B80AAA">
        <w:rPr>
          <w:color w:val="000000" w:themeColor="text1"/>
          <w:sz w:val="24"/>
          <w:szCs w:val="24"/>
        </w:rPr>
        <w:t>"The Principle of Exhaustion of Domestic Remedies in the Inter-American System of Human Rights; a reasonable obstacle or an impossible barrier?” Master's Thesis, University of Oslo, 2014………</w:t>
      </w:r>
      <w:r w:rsidR="00384FBD" w:rsidRPr="00B80AAA">
        <w:rPr>
          <w:color w:val="000000" w:themeColor="text1"/>
          <w:sz w:val="24"/>
          <w:szCs w:val="24"/>
        </w:rPr>
        <w:t>………………………………</w:t>
      </w:r>
      <w:r w:rsidRPr="00B80AAA">
        <w:rPr>
          <w:color w:val="000000" w:themeColor="text1"/>
          <w:sz w:val="24"/>
          <w:szCs w:val="24"/>
        </w:rPr>
        <w:t>………………………</w:t>
      </w:r>
      <w:r w:rsidR="00384FBD" w:rsidRPr="00B80AAA">
        <w:rPr>
          <w:color w:val="000000" w:themeColor="text1"/>
          <w:sz w:val="24"/>
          <w:szCs w:val="24"/>
        </w:rPr>
        <w:t>……………………</w:t>
      </w:r>
      <w:r w:rsidR="008C2D46" w:rsidRPr="00B80AAA">
        <w:rPr>
          <w:color w:val="000000" w:themeColor="text1"/>
          <w:sz w:val="24"/>
          <w:szCs w:val="24"/>
        </w:rPr>
        <w:t>..p. 18</w:t>
      </w:r>
    </w:p>
    <w:p w:rsidR="00AC40D7" w:rsidRPr="00B80AAA" w:rsidRDefault="00AC40D7" w:rsidP="00B80AAA">
      <w:pPr>
        <w:pStyle w:val="Heading3"/>
        <w:spacing w:line="480" w:lineRule="auto"/>
        <w:jc w:val="both"/>
        <w:rPr>
          <w:rFonts w:ascii="Times New Roman" w:hAnsi="Times New Roman" w:cs="Times New Roman"/>
          <w:color w:val="000000" w:themeColor="text1"/>
          <w:lang w:eastAsia="en-TT"/>
        </w:rPr>
      </w:pPr>
      <w:bookmarkStart w:id="9" w:name="_Toc446831622"/>
      <w:r w:rsidRPr="00B80AAA">
        <w:rPr>
          <w:rFonts w:ascii="Times New Roman" w:hAnsi="Times New Roman" w:cs="Times New Roman"/>
          <w:color w:val="000000" w:themeColor="text1"/>
          <w:lang w:eastAsia="en-TT"/>
        </w:rPr>
        <w:lastRenderedPageBreak/>
        <w:t>1.1.3 Books</w:t>
      </w:r>
      <w:bookmarkEnd w:id="9"/>
    </w:p>
    <w:p w:rsidR="008C2D46" w:rsidRPr="00B80AAA" w:rsidRDefault="0013337D" w:rsidP="00B80AAA">
      <w:pPr>
        <w:pStyle w:val="NormalWeb"/>
        <w:spacing w:after="0" w:line="480" w:lineRule="auto"/>
        <w:jc w:val="both"/>
        <w:rPr>
          <w:bCs/>
          <w:iCs/>
          <w:color w:val="000000" w:themeColor="text1"/>
        </w:rPr>
      </w:pPr>
      <w:r w:rsidRPr="00B80AAA">
        <w:t>Jägers N</w:t>
      </w:r>
      <w:r w:rsidR="008C2D46" w:rsidRPr="00B80AAA">
        <w:t xml:space="preserve">, </w:t>
      </w:r>
      <w:r w:rsidR="008C2D46" w:rsidRPr="00B80AAA">
        <w:rPr>
          <w:i/>
        </w:rPr>
        <w:t xml:space="preserve">Corporate Human Rights Obligations: In Search of Accountability </w:t>
      </w:r>
      <w:r w:rsidR="008C2D46" w:rsidRPr="00B80AAA">
        <w:t xml:space="preserve">(Antwerp: Intersentia, 2002)…………………………………………………………………………….. p. </w:t>
      </w:r>
      <w:r w:rsidR="00DB2759" w:rsidRPr="00B80AAA">
        <w:t>22</w:t>
      </w:r>
    </w:p>
    <w:p w:rsidR="002838B7" w:rsidRPr="00B80AAA" w:rsidRDefault="002838B7" w:rsidP="00B80AAA">
      <w:pPr>
        <w:pStyle w:val="Heading3"/>
        <w:spacing w:line="480" w:lineRule="auto"/>
        <w:jc w:val="both"/>
        <w:rPr>
          <w:rFonts w:ascii="Times New Roman" w:hAnsi="Times New Roman" w:cs="Times New Roman"/>
          <w:color w:val="000000" w:themeColor="text1"/>
          <w:lang w:eastAsia="en-TT"/>
        </w:rPr>
      </w:pPr>
      <w:bookmarkStart w:id="10" w:name="_Toc446831623"/>
      <w:r w:rsidRPr="00B80AAA">
        <w:rPr>
          <w:rFonts w:ascii="Times New Roman" w:hAnsi="Times New Roman" w:cs="Times New Roman"/>
          <w:color w:val="000000" w:themeColor="text1"/>
          <w:lang w:eastAsia="en-TT"/>
        </w:rPr>
        <w:t>1.1.4 Treaties and Other International Documents</w:t>
      </w:r>
      <w:bookmarkEnd w:id="6"/>
      <w:bookmarkEnd w:id="10"/>
    </w:p>
    <w:p w:rsidR="002838B7" w:rsidRPr="00B80AAA" w:rsidRDefault="002838B7" w:rsidP="00B80AAA">
      <w:pPr>
        <w:spacing w:after="0" w:line="480" w:lineRule="auto"/>
        <w:jc w:val="both"/>
        <w:rPr>
          <w:rFonts w:eastAsia="Times New Roman"/>
          <w:color w:val="000000" w:themeColor="text1"/>
          <w:lang w:eastAsia="en-TT"/>
        </w:rPr>
      </w:pPr>
      <w:r w:rsidRPr="00B80AAA">
        <w:rPr>
          <w:rFonts w:eastAsia="Times New Roman"/>
          <w:bCs/>
          <w:color w:val="000000" w:themeColor="text1"/>
          <w:lang w:eastAsia="en-TT"/>
        </w:rPr>
        <w:t xml:space="preserve">American Convention on Human Rights </w:t>
      </w:r>
    </w:p>
    <w:p w:rsidR="002838B7" w:rsidRPr="00B80AAA" w:rsidRDefault="002838B7" w:rsidP="00B80AAA">
      <w:pPr>
        <w:spacing w:after="0" w:line="480" w:lineRule="auto"/>
        <w:jc w:val="both"/>
        <w:rPr>
          <w:rFonts w:eastAsia="Times New Roman"/>
          <w:color w:val="000000" w:themeColor="text1"/>
          <w:lang w:eastAsia="en-TT"/>
        </w:rPr>
      </w:pPr>
      <w:r w:rsidRPr="00B80AAA">
        <w:rPr>
          <w:rFonts w:eastAsia="Times New Roman"/>
          <w:color w:val="000000" w:themeColor="text1"/>
          <w:lang w:eastAsia="en-TT"/>
        </w:rPr>
        <w:t>Arti</w:t>
      </w:r>
      <w:r w:rsidR="00F91716" w:rsidRPr="00B80AAA">
        <w:rPr>
          <w:rFonts w:eastAsia="Times New Roman"/>
          <w:color w:val="000000" w:themeColor="text1"/>
          <w:lang w:eastAsia="en-TT"/>
        </w:rPr>
        <w:t>cle 1………………………………………………………………</w:t>
      </w:r>
      <w:r w:rsidR="00E1438D" w:rsidRPr="00B80AAA">
        <w:rPr>
          <w:rFonts w:eastAsia="Times New Roman"/>
          <w:color w:val="000000" w:themeColor="text1"/>
          <w:lang w:eastAsia="en-TT"/>
        </w:rPr>
        <w:t>…</w:t>
      </w:r>
      <w:r w:rsidR="00F4223D" w:rsidRPr="00B80AAA">
        <w:rPr>
          <w:rFonts w:eastAsia="Times New Roman"/>
          <w:color w:val="000000" w:themeColor="text1"/>
          <w:lang w:eastAsia="en-TT"/>
        </w:rPr>
        <w:t>…</w:t>
      </w:r>
      <w:r w:rsidR="00C7790F" w:rsidRPr="00B80AAA">
        <w:rPr>
          <w:rFonts w:eastAsia="Times New Roman"/>
          <w:color w:val="000000" w:themeColor="text1"/>
          <w:lang w:eastAsia="en-TT"/>
        </w:rPr>
        <w:t>…….</w:t>
      </w:r>
      <w:r w:rsidR="00F4223D" w:rsidRPr="00B80AAA">
        <w:rPr>
          <w:rFonts w:eastAsia="Times New Roman"/>
          <w:color w:val="000000" w:themeColor="text1"/>
          <w:lang w:eastAsia="en-TT"/>
        </w:rPr>
        <w:t xml:space="preserve">17, </w:t>
      </w:r>
      <w:r w:rsidR="00313C4E" w:rsidRPr="00B80AAA">
        <w:rPr>
          <w:rFonts w:eastAsia="Times New Roman"/>
          <w:color w:val="000000" w:themeColor="text1"/>
          <w:lang w:eastAsia="en-TT"/>
        </w:rPr>
        <w:t>24, 28</w:t>
      </w:r>
      <w:r w:rsidR="005840EC" w:rsidRPr="00B80AAA">
        <w:rPr>
          <w:rFonts w:eastAsia="Times New Roman"/>
          <w:color w:val="000000" w:themeColor="text1"/>
          <w:lang w:eastAsia="en-TT"/>
        </w:rPr>
        <w:t xml:space="preserve">, </w:t>
      </w:r>
      <w:r w:rsidR="00313C4E" w:rsidRPr="00B80AAA">
        <w:rPr>
          <w:rFonts w:eastAsia="Times New Roman"/>
          <w:color w:val="000000" w:themeColor="text1"/>
          <w:lang w:eastAsia="en-TT"/>
        </w:rPr>
        <w:t xml:space="preserve">30, </w:t>
      </w:r>
      <w:r w:rsidR="005840EC" w:rsidRPr="00B80AAA">
        <w:rPr>
          <w:rFonts w:eastAsia="Times New Roman"/>
          <w:color w:val="000000" w:themeColor="text1"/>
          <w:lang w:eastAsia="en-TT"/>
        </w:rPr>
        <w:t>38</w:t>
      </w:r>
    </w:p>
    <w:p w:rsidR="009C7D5F" w:rsidRPr="00B80AAA" w:rsidRDefault="009C7D5F" w:rsidP="00B80AAA">
      <w:pPr>
        <w:spacing w:after="0" w:line="480" w:lineRule="auto"/>
        <w:jc w:val="both"/>
        <w:rPr>
          <w:rFonts w:eastAsia="Times New Roman"/>
          <w:color w:val="000000" w:themeColor="text1"/>
          <w:lang w:eastAsia="en-TT"/>
        </w:rPr>
      </w:pPr>
      <w:r w:rsidRPr="00B80AAA">
        <w:rPr>
          <w:rFonts w:eastAsia="Times New Roman"/>
          <w:color w:val="000000" w:themeColor="text1"/>
          <w:lang w:eastAsia="en-TT"/>
        </w:rPr>
        <w:t>Article 2</w:t>
      </w:r>
      <w:r w:rsidR="00F4223D" w:rsidRPr="00B80AAA">
        <w:rPr>
          <w:rFonts w:eastAsia="Times New Roman"/>
          <w:color w:val="000000" w:themeColor="text1"/>
          <w:lang w:eastAsia="en-TT"/>
        </w:rPr>
        <w:t>………………………………………………………………………...…..</w:t>
      </w:r>
      <w:r w:rsidR="00313C4E" w:rsidRPr="00B80AAA">
        <w:rPr>
          <w:rFonts w:eastAsia="Times New Roman"/>
          <w:color w:val="000000" w:themeColor="text1"/>
          <w:lang w:eastAsia="en-TT"/>
        </w:rPr>
        <w:t>.</w:t>
      </w:r>
      <w:r w:rsidR="00F4223D" w:rsidRPr="00B80AAA">
        <w:rPr>
          <w:rFonts w:eastAsia="Times New Roman"/>
          <w:color w:val="000000" w:themeColor="text1"/>
          <w:lang w:eastAsia="en-TT"/>
        </w:rPr>
        <w:t>.</w:t>
      </w:r>
      <w:r w:rsidR="00CA6929" w:rsidRPr="00B80AAA">
        <w:rPr>
          <w:rFonts w:eastAsia="Times New Roman"/>
          <w:color w:val="000000" w:themeColor="text1"/>
          <w:lang w:eastAsia="en-TT"/>
        </w:rPr>
        <w:t>2</w:t>
      </w:r>
      <w:r w:rsidR="001E490F" w:rsidRPr="00B80AAA">
        <w:rPr>
          <w:rFonts w:eastAsia="Times New Roman"/>
          <w:color w:val="000000" w:themeColor="text1"/>
          <w:lang w:eastAsia="en-TT"/>
        </w:rPr>
        <w:t>1</w:t>
      </w:r>
      <w:r w:rsidR="001A4702" w:rsidRPr="00B80AAA">
        <w:rPr>
          <w:rFonts w:eastAsia="Times New Roman"/>
          <w:color w:val="000000" w:themeColor="text1"/>
          <w:lang w:eastAsia="en-TT"/>
        </w:rPr>
        <w:t xml:space="preserve">, </w:t>
      </w:r>
      <w:r w:rsidR="00313C4E" w:rsidRPr="00B80AAA">
        <w:rPr>
          <w:rFonts w:eastAsia="Times New Roman"/>
          <w:color w:val="000000" w:themeColor="text1"/>
          <w:lang w:eastAsia="en-TT"/>
        </w:rPr>
        <w:t xml:space="preserve">24, </w:t>
      </w:r>
      <w:r w:rsidR="001E490F" w:rsidRPr="00B80AAA">
        <w:rPr>
          <w:rFonts w:eastAsia="Times New Roman"/>
          <w:color w:val="000000" w:themeColor="text1"/>
          <w:lang w:eastAsia="en-TT"/>
        </w:rPr>
        <w:t>31</w:t>
      </w:r>
      <w:r w:rsidR="00F4223D" w:rsidRPr="00B80AAA">
        <w:rPr>
          <w:rFonts w:eastAsia="Times New Roman"/>
          <w:color w:val="000000" w:themeColor="text1"/>
          <w:lang w:eastAsia="en-TT"/>
        </w:rPr>
        <w:t xml:space="preserve">, </w:t>
      </w:r>
      <w:r w:rsidR="001E490F" w:rsidRPr="00B80AAA">
        <w:rPr>
          <w:rFonts w:eastAsia="Times New Roman"/>
          <w:color w:val="000000" w:themeColor="text1"/>
          <w:lang w:eastAsia="en-TT"/>
        </w:rPr>
        <w:t>38</w:t>
      </w:r>
    </w:p>
    <w:p w:rsidR="002838B7" w:rsidRPr="00B80AAA" w:rsidRDefault="002838B7" w:rsidP="00B80AAA">
      <w:pPr>
        <w:spacing w:after="0" w:line="480" w:lineRule="auto"/>
        <w:jc w:val="both"/>
        <w:rPr>
          <w:rFonts w:eastAsia="Times New Roman"/>
          <w:color w:val="000000" w:themeColor="text1"/>
          <w:lang w:eastAsia="en-TT"/>
        </w:rPr>
      </w:pPr>
      <w:r w:rsidRPr="00B80AAA">
        <w:rPr>
          <w:rFonts w:eastAsia="Times New Roman"/>
          <w:color w:val="000000" w:themeColor="text1"/>
          <w:lang w:eastAsia="en-TT"/>
        </w:rPr>
        <w:t>Article 4………………</w:t>
      </w:r>
      <w:r w:rsidR="00443212" w:rsidRPr="00B80AAA">
        <w:rPr>
          <w:rFonts w:eastAsia="Times New Roman"/>
          <w:color w:val="000000" w:themeColor="text1"/>
          <w:lang w:eastAsia="en-TT"/>
        </w:rPr>
        <w:t>……………………………………………………………………</w:t>
      </w:r>
      <w:r w:rsidR="001E490F" w:rsidRPr="00B80AAA">
        <w:rPr>
          <w:rFonts w:eastAsia="Times New Roman"/>
          <w:color w:val="000000" w:themeColor="text1"/>
          <w:lang w:eastAsia="en-TT"/>
        </w:rPr>
        <w:t>…….21</w:t>
      </w:r>
    </w:p>
    <w:p w:rsidR="002838B7" w:rsidRPr="00B80AAA" w:rsidRDefault="002838B7" w:rsidP="00B80AAA">
      <w:pPr>
        <w:spacing w:after="0" w:line="480" w:lineRule="auto"/>
        <w:jc w:val="both"/>
        <w:rPr>
          <w:rFonts w:eastAsia="Times New Roman"/>
          <w:color w:val="000000" w:themeColor="text1"/>
          <w:lang w:eastAsia="en-TT"/>
        </w:rPr>
      </w:pPr>
      <w:r w:rsidRPr="00B80AAA">
        <w:rPr>
          <w:rFonts w:eastAsia="Times New Roman"/>
          <w:color w:val="000000" w:themeColor="text1"/>
          <w:lang w:eastAsia="en-TT"/>
        </w:rPr>
        <w:t>Article 5……………………………………………………………………</w:t>
      </w:r>
      <w:r w:rsidR="00CA6929" w:rsidRPr="00B80AAA">
        <w:rPr>
          <w:rFonts w:eastAsia="Times New Roman"/>
          <w:color w:val="000000" w:themeColor="text1"/>
          <w:lang w:eastAsia="en-TT"/>
        </w:rPr>
        <w:t>……</w:t>
      </w:r>
      <w:r w:rsidR="00C7790F" w:rsidRPr="00B80AAA">
        <w:rPr>
          <w:rFonts w:eastAsia="Times New Roman"/>
          <w:color w:val="000000" w:themeColor="text1"/>
          <w:lang w:eastAsia="en-TT"/>
        </w:rPr>
        <w:t>…</w:t>
      </w:r>
      <w:r w:rsidR="00A233E5" w:rsidRPr="00B80AAA">
        <w:rPr>
          <w:rFonts w:eastAsia="Times New Roman"/>
          <w:color w:val="000000" w:themeColor="text1"/>
          <w:lang w:eastAsia="en-TT"/>
        </w:rPr>
        <w:t>…….25, 31</w:t>
      </w:r>
      <w:r w:rsidR="001E490F" w:rsidRPr="00B80AAA">
        <w:rPr>
          <w:rFonts w:eastAsia="Times New Roman"/>
          <w:color w:val="000000" w:themeColor="text1"/>
          <w:lang w:eastAsia="en-TT"/>
        </w:rPr>
        <w:t>, 32</w:t>
      </w:r>
    </w:p>
    <w:p w:rsidR="002838B7" w:rsidRPr="00B80AAA" w:rsidRDefault="002838B7" w:rsidP="00B80AAA">
      <w:pPr>
        <w:spacing w:after="0" w:line="480" w:lineRule="auto"/>
        <w:jc w:val="both"/>
        <w:rPr>
          <w:rFonts w:eastAsia="Times New Roman"/>
          <w:color w:val="000000" w:themeColor="text1"/>
          <w:lang w:eastAsia="en-TT"/>
        </w:rPr>
      </w:pPr>
      <w:r w:rsidRPr="00B80AAA">
        <w:rPr>
          <w:rFonts w:eastAsia="Times New Roman"/>
          <w:color w:val="000000" w:themeColor="text1"/>
          <w:lang w:eastAsia="en-TT"/>
        </w:rPr>
        <w:t>Article 8……………………………………………………………………</w:t>
      </w:r>
      <w:r w:rsidR="00E573F1" w:rsidRPr="00B80AAA">
        <w:rPr>
          <w:rFonts w:eastAsia="Times New Roman"/>
          <w:color w:val="000000" w:themeColor="text1"/>
          <w:lang w:eastAsia="en-TT"/>
        </w:rPr>
        <w:t>……</w:t>
      </w:r>
      <w:r w:rsidR="00C93F7E" w:rsidRPr="00B80AAA">
        <w:rPr>
          <w:rFonts w:eastAsia="Times New Roman"/>
          <w:color w:val="000000" w:themeColor="text1"/>
          <w:lang w:eastAsia="en-TT"/>
        </w:rPr>
        <w:t>…</w:t>
      </w:r>
      <w:r w:rsidR="000350BC" w:rsidRPr="00B80AAA">
        <w:rPr>
          <w:rFonts w:eastAsia="Times New Roman"/>
          <w:color w:val="000000" w:themeColor="text1"/>
          <w:lang w:eastAsia="en-TT"/>
        </w:rPr>
        <w:t>…</w:t>
      </w:r>
      <w:r w:rsidR="00C7790F" w:rsidRPr="00B80AAA">
        <w:rPr>
          <w:rFonts w:eastAsia="Times New Roman"/>
          <w:color w:val="000000" w:themeColor="text1"/>
          <w:lang w:eastAsia="en-TT"/>
        </w:rPr>
        <w:t>.</w:t>
      </w:r>
      <w:r w:rsidR="00237AB1" w:rsidRPr="00B80AAA">
        <w:rPr>
          <w:rFonts w:eastAsia="Times New Roman"/>
          <w:color w:val="000000" w:themeColor="text1"/>
          <w:lang w:eastAsia="en-TT"/>
        </w:rPr>
        <w:t>…28</w:t>
      </w:r>
      <w:r w:rsidR="000350BC" w:rsidRPr="00B80AAA">
        <w:rPr>
          <w:rFonts w:eastAsia="Times New Roman"/>
          <w:color w:val="000000" w:themeColor="text1"/>
          <w:lang w:eastAsia="en-TT"/>
        </w:rPr>
        <w:t>,</w:t>
      </w:r>
      <w:r w:rsidR="00237AB1" w:rsidRPr="00B80AAA">
        <w:rPr>
          <w:rFonts w:eastAsia="Times New Roman"/>
          <w:color w:val="000000" w:themeColor="text1"/>
          <w:lang w:eastAsia="en-TT"/>
        </w:rPr>
        <w:t xml:space="preserve"> 33</w:t>
      </w:r>
      <w:r w:rsidR="000350BC" w:rsidRPr="00B80AAA">
        <w:rPr>
          <w:rFonts w:eastAsia="Times New Roman"/>
          <w:color w:val="000000" w:themeColor="text1"/>
          <w:lang w:eastAsia="en-TT"/>
        </w:rPr>
        <w:t>, 38</w:t>
      </w:r>
    </w:p>
    <w:p w:rsidR="002838B7" w:rsidRPr="00B80AAA" w:rsidRDefault="002838B7" w:rsidP="00B80AAA">
      <w:pPr>
        <w:spacing w:after="0" w:line="480" w:lineRule="auto"/>
        <w:jc w:val="both"/>
        <w:rPr>
          <w:rFonts w:eastAsia="Times New Roman"/>
          <w:color w:val="000000" w:themeColor="text1"/>
          <w:lang w:eastAsia="en-TT"/>
        </w:rPr>
      </w:pPr>
      <w:r w:rsidRPr="00B80AAA">
        <w:rPr>
          <w:rFonts w:eastAsia="Times New Roman"/>
          <w:color w:val="000000" w:themeColor="text1"/>
          <w:lang w:eastAsia="en-TT"/>
        </w:rPr>
        <w:t>Article</w:t>
      </w:r>
      <w:r w:rsidR="008D4941" w:rsidRPr="00B80AAA">
        <w:rPr>
          <w:rFonts w:eastAsia="Times New Roman"/>
          <w:color w:val="000000" w:themeColor="text1"/>
          <w:lang w:eastAsia="en-TT"/>
        </w:rPr>
        <w:t xml:space="preserve"> 16…</w:t>
      </w:r>
      <w:r w:rsidRPr="00B80AAA">
        <w:rPr>
          <w:rFonts w:eastAsia="Times New Roman"/>
          <w:color w:val="000000" w:themeColor="text1"/>
          <w:lang w:eastAsia="en-TT"/>
        </w:rPr>
        <w:t>……………</w:t>
      </w:r>
      <w:r w:rsidR="00E573F1" w:rsidRPr="00B80AAA">
        <w:rPr>
          <w:rFonts w:eastAsia="Times New Roman"/>
          <w:color w:val="000000" w:themeColor="text1"/>
          <w:lang w:eastAsia="en-TT"/>
        </w:rPr>
        <w:t>………………………………………………………………</w:t>
      </w:r>
      <w:r w:rsidR="00C7790F" w:rsidRPr="00B80AAA">
        <w:rPr>
          <w:rFonts w:eastAsia="Times New Roman"/>
          <w:color w:val="000000" w:themeColor="text1"/>
          <w:lang w:eastAsia="en-TT"/>
        </w:rPr>
        <w:t>...</w:t>
      </w:r>
      <w:r w:rsidR="00C93F7E" w:rsidRPr="00B80AAA">
        <w:rPr>
          <w:rFonts w:eastAsia="Times New Roman"/>
          <w:color w:val="000000" w:themeColor="text1"/>
          <w:lang w:eastAsia="en-TT"/>
        </w:rPr>
        <w:t>………26</w:t>
      </w:r>
    </w:p>
    <w:p w:rsidR="002838B7" w:rsidRPr="00B80AAA" w:rsidRDefault="002838B7" w:rsidP="00B80AAA">
      <w:pPr>
        <w:spacing w:after="0" w:line="480" w:lineRule="auto"/>
        <w:jc w:val="both"/>
        <w:rPr>
          <w:rFonts w:eastAsia="Times New Roman"/>
          <w:color w:val="000000" w:themeColor="text1"/>
          <w:lang w:eastAsia="en-TT"/>
        </w:rPr>
      </w:pPr>
      <w:r w:rsidRPr="00B80AAA">
        <w:rPr>
          <w:rFonts w:eastAsia="Times New Roman"/>
          <w:color w:val="000000" w:themeColor="text1"/>
          <w:lang w:eastAsia="en-TT"/>
        </w:rPr>
        <w:t>Article 17………</w:t>
      </w:r>
      <w:r w:rsidR="0004494F" w:rsidRPr="00B80AAA">
        <w:rPr>
          <w:rFonts w:eastAsia="Times New Roman"/>
          <w:color w:val="000000" w:themeColor="text1"/>
          <w:lang w:eastAsia="en-TT"/>
        </w:rPr>
        <w:t>………………………………………………………………………………...</w:t>
      </w:r>
      <w:r w:rsidR="00C93F7E" w:rsidRPr="00B80AAA">
        <w:rPr>
          <w:rFonts w:eastAsia="Times New Roman"/>
          <w:color w:val="000000" w:themeColor="text1"/>
          <w:lang w:eastAsia="en-TT"/>
        </w:rPr>
        <w:t>27</w:t>
      </w:r>
    </w:p>
    <w:p w:rsidR="002838B7" w:rsidRPr="00B80AAA" w:rsidRDefault="002838B7" w:rsidP="00B80AAA">
      <w:pPr>
        <w:spacing w:after="0" w:line="480" w:lineRule="auto"/>
        <w:jc w:val="both"/>
        <w:rPr>
          <w:rFonts w:eastAsia="Times New Roman"/>
          <w:color w:val="000000" w:themeColor="text1"/>
          <w:lang w:eastAsia="en-TT"/>
        </w:rPr>
      </w:pPr>
      <w:r w:rsidRPr="00B80AAA">
        <w:rPr>
          <w:rFonts w:eastAsia="Times New Roman"/>
          <w:color w:val="000000" w:themeColor="text1"/>
          <w:lang w:eastAsia="en-TT"/>
        </w:rPr>
        <w:t>Article 21………</w:t>
      </w:r>
      <w:r w:rsidR="0004494F" w:rsidRPr="00B80AAA">
        <w:rPr>
          <w:rFonts w:eastAsia="Times New Roman"/>
          <w:color w:val="000000" w:themeColor="text1"/>
          <w:lang w:eastAsia="en-TT"/>
        </w:rPr>
        <w:t>………………………………………………………………………………...</w:t>
      </w:r>
      <w:r w:rsidR="00502700" w:rsidRPr="00B80AAA">
        <w:rPr>
          <w:rFonts w:eastAsia="Times New Roman"/>
          <w:color w:val="000000" w:themeColor="text1"/>
          <w:lang w:eastAsia="en-TT"/>
        </w:rPr>
        <w:t>34</w:t>
      </w:r>
    </w:p>
    <w:p w:rsidR="002838B7" w:rsidRPr="00B80AAA" w:rsidRDefault="000350BC" w:rsidP="00B80AAA">
      <w:pPr>
        <w:spacing w:after="0" w:line="480" w:lineRule="auto"/>
        <w:jc w:val="both"/>
        <w:rPr>
          <w:rFonts w:eastAsia="Times New Roman"/>
          <w:color w:val="000000" w:themeColor="text1"/>
          <w:lang w:eastAsia="en-TT"/>
        </w:rPr>
      </w:pPr>
      <w:r w:rsidRPr="00B80AAA">
        <w:rPr>
          <w:rFonts w:eastAsia="Times New Roman"/>
          <w:color w:val="000000" w:themeColor="text1"/>
          <w:lang w:eastAsia="en-TT"/>
        </w:rPr>
        <w:t>Article 25</w:t>
      </w:r>
      <w:r w:rsidR="00B95E18" w:rsidRPr="00B80AAA">
        <w:rPr>
          <w:rFonts w:eastAsia="Times New Roman"/>
          <w:color w:val="000000" w:themeColor="text1"/>
          <w:lang w:eastAsia="en-TT"/>
        </w:rPr>
        <w:t>………………………………………………………………</w:t>
      </w:r>
      <w:r w:rsidR="00EB13A1" w:rsidRPr="00B80AAA">
        <w:rPr>
          <w:rFonts w:eastAsia="Times New Roman"/>
          <w:color w:val="000000" w:themeColor="text1"/>
          <w:lang w:eastAsia="en-TT"/>
        </w:rPr>
        <w:t>……</w:t>
      </w:r>
      <w:r w:rsidR="009F2EF0" w:rsidRPr="00B80AAA">
        <w:rPr>
          <w:rFonts w:eastAsia="Times New Roman"/>
          <w:color w:val="000000" w:themeColor="text1"/>
          <w:lang w:eastAsia="en-TT"/>
        </w:rPr>
        <w:t>.…………..30, 36, 39</w:t>
      </w:r>
    </w:p>
    <w:p w:rsidR="002838B7" w:rsidRPr="00B80AAA" w:rsidRDefault="002838B7" w:rsidP="00B80AAA">
      <w:pPr>
        <w:spacing w:after="0" w:line="480" w:lineRule="auto"/>
        <w:jc w:val="both"/>
        <w:rPr>
          <w:rFonts w:eastAsia="Times New Roman"/>
          <w:color w:val="000000" w:themeColor="text1"/>
          <w:lang w:eastAsia="en-TT"/>
        </w:rPr>
      </w:pPr>
      <w:r w:rsidRPr="00B80AAA">
        <w:rPr>
          <w:rFonts w:eastAsia="Times New Roman"/>
          <w:color w:val="000000" w:themeColor="text1"/>
          <w:lang w:eastAsia="en-TT"/>
        </w:rPr>
        <w:t>Article 27………</w:t>
      </w:r>
      <w:r w:rsidR="005B5C84" w:rsidRPr="00B80AAA">
        <w:rPr>
          <w:rFonts w:eastAsia="Times New Roman"/>
          <w:color w:val="000000" w:themeColor="text1"/>
          <w:lang w:eastAsia="en-TT"/>
        </w:rPr>
        <w:t>……………………………………………………………………………</w:t>
      </w:r>
      <w:r w:rsidR="009B3AB7" w:rsidRPr="00B80AAA">
        <w:rPr>
          <w:rFonts w:eastAsia="Times New Roman"/>
          <w:color w:val="000000" w:themeColor="text1"/>
          <w:lang w:eastAsia="en-TT"/>
        </w:rPr>
        <w:t>…...20</w:t>
      </w:r>
    </w:p>
    <w:p w:rsidR="002838B7" w:rsidRPr="00B80AAA" w:rsidRDefault="002838B7" w:rsidP="00B80AAA">
      <w:pPr>
        <w:spacing w:after="0" w:line="480" w:lineRule="auto"/>
        <w:jc w:val="both"/>
        <w:rPr>
          <w:rFonts w:eastAsia="Times New Roman"/>
          <w:color w:val="000000" w:themeColor="text1"/>
          <w:lang w:eastAsia="en-TT"/>
        </w:rPr>
      </w:pPr>
      <w:r w:rsidRPr="00B80AAA">
        <w:rPr>
          <w:rFonts w:eastAsia="Times New Roman"/>
          <w:color w:val="000000" w:themeColor="text1"/>
          <w:lang w:eastAsia="en-TT"/>
        </w:rPr>
        <w:t>Article 29……………………</w:t>
      </w:r>
      <w:r w:rsidR="006D627B" w:rsidRPr="00B80AAA">
        <w:rPr>
          <w:rFonts w:eastAsia="Times New Roman"/>
          <w:color w:val="000000" w:themeColor="text1"/>
          <w:lang w:eastAsia="en-TT"/>
        </w:rPr>
        <w:t>………………………………………………</w:t>
      </w:r>
      <w:r w:rsidR="00386E36" w:rsidRPr="00B80AAA">
        <w:rPr>
          <w:rFonts w:eastAsia="Times New Roman"/>
          <w:color w:val="000000" w:themeColor="text1"/>
          <w:lang w:eastAsia="en-TT"/>
        </w:rPr>
        <w:t>………</w:t>
      </w:r>
      <w:r w:rsidR="0061172A" w:rsidRPr="00B80AAA">
        <w:rPr>
          <w:rFonts w:eastAsia="Times New Roman"/>
          <w:color w:val="000000" w:themeColor="text1"/>
          <w:lang w:eastAsia="en-TT"/>
        </w:rPr>
        <w:t>.</w:t>
      </w:r>
      <w:r w:rsidR="00EB13A1" w:rsidRPr="00B80AAA">
        <w:rPr>
          <w:rFonts w:eastAsia="Times New Roman"/>
          <w:color w:val="000000" w:themeColor="text1"/>
          <w:lang w:eastAsia="en-TT"/>
        </w:rPr>
        <w:t>...</w:t>
      </w:r>
      <w:r w:rsidR="009B3AB7" w:rsidRPr="00B80AAA">
        <w:rPr>
          <w:rFonts w:eastAsia="Times New Roman"/>
          <w:color w:val="000000" w:themeColor="text1"/>
          <w:lang w:eastAsia="en-TT"/>
        </w:rPr>
        <w:t>..</w:t>
      </w:r>
      <w:r w:rsidR="004A72E6" w:rsidRPr="00B80AAA">
        <w:rPr>
          <w:rFonts w:eastAsia="Times New Roman"/>
          <w:color w:val="000000" w:themeColor="text1"/>
          <w:lang w:eastAsia="en-TT"/>
        </w:rPr>
        <w:t>.</w:t>
      </w:r>
      <w:r w:rsidR="0061172A" w:rsidRPr="00B80AAA">
        <w:rPr>
          <w:rFonts w:eastAsia="Times New Roman"/>
          <w:color w:val="000000" w:themeColor="text1"/>
          <w:lang w:eastAsia="en-TT"/>
        </w:rPr>
        <w:t>22, 35</w:t>
      </w:r>
      <w:r w:rsidR="00EB13A1" w:rsidRPr="00B80AAA">
        <w:rPr>
          <w:rFonts w:eastAsia="Times New Roman"/>
          <w:color w:val="000000" w:themeColor="text1"/>
          <w:lang w:eastAsia="en-TT"/>
        </w:rPr>
        <w:t xml:space="preserve">, </w:t>
      </w:r>
      <w:r w:rsidR="001B12D2" w:rsidRPr="00B80AAA">
        <w:rPr>
          <w:rFonts w:eastAsia="Times New Roman"/>
          <w:color w:val="000000" w:themeColor="text1"/>
          <w:lang w:eastAsia="en-TT"/>
        </w:rPr>
        <w:t>38</w:t>
      </w:r>
    </w:p>
    <w:p w:rsidR="00386E36" w:rsidRPr="00B80AAA" w:rsidRDefault="00386E36" w:rsidP="00B80AAA">
      <w:pPr>
        <w:spacing w:after="0" w:line="480" w:lineRule="auto"/>
        <w:jc w:val="both"/>
        <w:rPr>
          <w:rFonts w:eastAsia="Times New Roman"/>
          <w:color w:val="000000" w:themeColor="text1"/>
          <w:lang w:eastAsia="en-TT"/>
        </w:rPr>
      </w:pPr>
      <w:r w:rsidRPr="00B80AAA">
        <w:rPr>
          <w:rFonts w:eastAsia="Times New Roman"/>
          <w:color w:val="000000" w:themeColor="text1"/>
          <w:lang w:eastAsia="en-TT"/>
        </w:rPr>
        <w:t>Article 45……………</w:t>
      </w:r>
      <w:r w:rsidR="00DF6041" w:rsidRPr="00B80AAA">
        <w:rPr>
          <w:rFonts w:eastAsia="Times New Roman"/>
          <w:color w:val="000000" w:themeColor="text1"/>
          <w:lang w:eastAsia="en-TT"/>
        </w:rPr>
        <w:t>…………………………………………………………………………...17</w:t>
      </w:r>
    </w:p>
    <w:p w:rsidR="002838B7" w:rsidRPr="00B80AAA" w:rsidRDefault="002838B7" w:rsidP="00B80AAA">
      <w:pPr>
        <w:spacing w:after="0" w:line="480" w:lineRule="auto"/>
        <w:jc w:val="both"/>
        <w:rPr>
          <w:rFonts w:eastAsia="Times New Roman"/>
          <w:color w:val="000000" w:themeColor="text1"/>
          <w:lang w:eastAsia="en-TT"/>
        </w:rPr>
      </w:pPr>
      <w:r w:rsidRPr="00B80AAA">
        <w:rPr>
          <w:rFonts w:eastAsia="Times New Roman"/>
          <w:color w:val="000000" w:themeColor="text1"/>
          <w:lang w:eastAsia="en-TT"/>
        </w:rPr>
        <w:t>Article 46……………………………………</w:t>
      </w:r>
      <w:r w:rsidR="0061172A" w:rsidRPr="00B80AAA">
        <w:rPr>
          <w:rFonts w:eastAsia="Times New Roman"/>
          <w:color w:val="000000" w:themeColor="text1"/>
          <w:lang w:eastAsia="en-TT"/>
        </w:rPr>
        <w:t>………………………………….......</w:t>
      </w:r>
      <w:r w:rsidR="00CE0F48" w:rsidRPr="00B80AAA">
        <w:rPr>
          <w:rFonts w:eastAsia="Times New Roman"/>
          <w:color w:val="000000" w:themeColor="text1"/>
          <w:lang w:eastAsia="en-TT"/>
        </w:rPr>
        <w:t>..</w:t>
      </w:r>
      <w:r w:rsidR="00386E36" w:rsidRPr="00B80AAA">
        <w:rPr>
          <w:rFonts w:eastAsia="Times New Roman"/>
          <w:color w:val="000000" w:themeColor="text1"/>
          <w:lang w:eastAsia="en-TT"/>
        </w:rPr>
        <w:t>18</w:t>
      </w:r>
      <w:r w:rsidR="00DF6041" w:rsidRPr="00B80AAA">
        <w:rPr>
          <w:rFonts w:eastAsia="Times New Roman"/>
          <w:color w:val="000000" w:themeColor="text1"/>
          <w:lang w:eastAsia="en-TT"/>
        </w:rPr>
        <w:t>, 19, 20</w:t>
      </w:r>
      <w:r w:rsidR="0061172A" w:rsidRPr="00B80AAA">
        <w:rPr>
          <w:rFonts w:eastAsia="Times New Roman"/>
          <w:color w:val="000000" w:themeColor="text1"/>
          <w:lang w:eastAsia="en-TT"/>
        </w:rPr>
        <w:t>, 21</w:t>
      </w:r>
    </w:p>
    <w:p w:rsidR="002838B7" w:rsidRPr="00B80AAA" w:rsidRDefault="002838B7" w:rsidP="00B80AAA">
      <w:pPr>
        <w:spacing w:after="0" w:line="480" w:lineRule="auto"/>
        <w:jc w:val="both"/>
        <w:rPr>
          <w:rFonts w:eastAsia="Times New Roman"/>
          <w:color w:val="000000" w:themeColor="text1"/>
          <w:lang w:eastAsia="en-TT"/>
        </w:rPr>
      </w:pPr>
      <w:r w:rsidRPr="00B80AAA">
        <w:rPr>
          <w:rFonts w:eastAsia="Times New Roman"/>
          <w:color w:val="000000" w:themeColor="text1"/>
          <w:lang w:eastAsia="en-TT"/>
        </w:rPr>
        <w:t>Article 61………………</w:t>
      </w:r>
      <w:r w:rsidR="00841FE9" w:rsidRPr="00B80AAA">
        <w:rPr>
          <w:rFonts w:eastAsia="Times New Roman"/>
          <w:color w:val="000000" w:themeColor="text1"/>
          <w:lang w:eastAsia="en-TT"/>
        </w:rPr>
        <w:t>…</w:t>
      </w:r>
      <w:r w:rsidR="00386E36" w:rsidRPr="00B80AAA">
        <w:rPr>
          <w:rFonts w:eastAsia="Times New Roman"/>
          <w:color w:val="000000" w:themeColor="text1"/>
          <w:lang w:eastAsia="en-TT"/>
        </w:rPr>
        <w:t>……………………………………………………………………..</w:t>
      </w:r>
      <w:r w:rsidR="00DF6041" w:rsidRPr="00B80AAA">
        <w:rPr>
          <w:rFonts w:eastAsia="Times New Roman"/>
          <w:color w:val="000000" w:themeColor="text1"/>
          <w:lang w:eastAsia="en-TT"/>
        </w:rPr>
        <w:t>.</w:t>
      </w:r>
      <w:r w:rsidR="00386E36" w:rsidRPr="00B80AAA">
        <w:rPr>
          <w:rFonts w:eastAsia="Times New Roman"/>
          <w:color w:val="000000" w:themeColor="text1"/>
          <w:lang w:eastAsia="en-TT"/>
        </w:rPr>
        <w:t>16</w:t>
      </w:r>
      <w:r w:rsidR="00841FE9" w:rsidRPr="00B80AAA">
        <w:rPr>
          <w:rFonts w:eastAsia="Times New Roman"/>
          <w:color w:val="000000" w:themeColor="text1"/>
          <w:lang w:eastAsia="en-TT"/>
        </w:rPr>
        <w:t xml:space="preserve"> </w:t>
      </w:r>
    </w:p>
    <w:p w:rsidR="002838B7" w:rsidRPr="00B80AAA" w:rsidRDefault="002838B7" w:rsidP="00B80AAA">
      <w:pPr>
        <w:spacing w:after="0" w:line="480" w:lineRule="auto"/>
        <w:jc w:val="both"/>
        <w:rPr>
          <w:rFonts w:eastAsia="Times New Roman"/>
          <w:color w:val="000000" w:themeColor="text1"/>
          <w:lang w:eastAsia="en-TT"/>
        </w:rPr>
      </w:pPr>
      <w:r w:rsidRPr="00B80AAA">
        <w:rPr>
          <w:rFonts w:eastAsia="Times New Roman"/>
          <w:color w:val="000000" w:themeColor="text1"/>
          <w:lang w:eastAsia="en-TT"/>
        </w:rPr>
        <w:t>Article 62………………………………………………………………………………</w:t>
      </w:r>
      <w:r w:rsidR="00C7790F" w:rsidRPr="00B80AAA">
        <w:rPr>
          <w:rFonts w:eastAsia="Times New Roman"/>
          <w:color w:val="000000" w:themeColor="text1"/>
          <w:lang w:eastAsia="en-TT"/>
        </w:rPr>
        <w:t>.</w:t>
      </w:r>
      <w:r w:rsidRPr="00B80AAA">
        <w:rPr>
          <w:rFonts w:eastAsia="Times New Roman"/>
          <w:color w:val="000000" w:themeColor="text1"/>
          <w:lang w:eastAsia="en-TT"/>
        </w:rPr>
        <w:t>………</w:t>
      </w:r>
      <w:r w:rsidR="00386E36" w:rsidRPr="00B80AAA">
        <w:rPr>
          <w:rFonts w:eastAsia="Times New Roman"/>
          <w:color w:val="000000" w:themeColor="text1"/>
          <w:lang w:eastAsia="en-TT"/>
        </w:rPr>
        <w:t>..16</w:t>
      </w:r>
    </w:p>
    <w:p w:rsidR="002838B7" w:rsidRPr="00B80AAA" w:rsidRDefault="00A2297B" w:rsidP="00B80AAA">
      <w:pPr>
        <w:pStyle w:val="NormalWeb"/>
        <w:spacing w:line="480" w:lineRule="auto"/>
        <w:jc w:val="both"/>
        <w:rPr>
          <w:bCs/>
          <w:iCs/>
          <w:color w:val="000000" w:themeColor="text1"/>
        </w:rPr>
      </w:pPr>
      <w:r w:rsidRPr="00B80AAA">
        <w:rPr>
          <w:color w:val="000000" w:themeColor="text1"/>
        </w:rPr>
        <w:t xml:space="preserve">Organization of American States (OAS), </w:t>
      </w:r>
      <w:r w:rsidR="002838B7" w:rsidRPr="00B80AAA">
        <w:rPr>
          <w:bCs/>
          <w:i/>
          <w:iCs/>
          <w:color w:val="000000" w:themeColor="text1"/>
        </w:rPr>
        <w:t>Inter-American Convention on Extradition</w:t>
      </w:r>
      <w:r w:rsidR="002838B7" w:rsidRPr="00B80AAA">
        <w:rPr>
          <w:bCs/>
          <w:iCs/>
          <w:color w:val="000000" w:themeColor="text1"/>
        </w:rPr>
        <w:t xml:space="preserve">, </w:t>
      </w:r>
      <w:r w:rsidRPr="00B80AAA">
        <w:rPr>
          <w:color w:val="000000" w:themeColor="text1"/>
        </w:rPr>
        <w:t>entered into force Jan. 25, 1935, 49 Stat. 3111..</w:t>
      </w:r>
      <w:r w:rsidR="00A27EC7" w:rsidRPr="00B80AAA">
        <w:rPr>
          <w:bCs/>
          <w:iCs/>
          <w:color w:val="000000" w:themeColor="text1"/>
        </w:rPr>
        <w:t>.</w:t>
      </w:r>
      <w:r w:rsidRPr="00B80AAA">
        <w:rPr>
          <w:bCs/>
          <w:iCs/>
          <w:color w:val="000000" w:themeColor="text1"/>
        </w:rPr>
        <w:t>...........................................................................................</w:t>
      </w:r>
      <w:r w:rsidR="000A061F" w:rsidRPr="00B80AAA">
        <w:rPr>
          <w:bCs/>
          <w:iCs/>
          <w:color w:val="000000" w:themeColor="text1"/>
        </w:rPr>
        <w:t>p. 30</w:t>
      </w:r>
    </w:p>
    <w:p w:rsidR="002838B7" w:rsidRPr="00B80AAA" w:rsidRDefault="002838B7" w:rsidP="00B80AAA">
      <w:pPr>
        <w:pStyle w:val="NormalWeb"/>
        <w:spacing w:line="480" w:lineRule="auto"/>
        <w:jc w:val="both"/>
        <w:rPr>
          <w:i/>
          <w:iCs/>
          <w:color w:val="000000" w:themeColor="text1"/>
        </w:rPr>
      </w:pPr>
      <w:r w:rsidRPr="00B80AAA">
        <w:rPr>
          <w:iCs/>
          <w:color w:val="000000" w:themeColor="text1"/>
        </w:rPr>
        <w:lastRenderedPageBreak/>
        <w:t>International Labour Organization (ILO)</w:t>
      </w:r>
      <w:r w:rsidRPr="00B80AAA">
        <w:rPr>
          <w:i/>
          <w:iCs/>
          <w:color w:val="000000" w:themeColor="text1"/>
        </w:rPr>
        <w:t xml:space="preserve"> Indigenous and Tribal Peoples Convention, C169, 27</w:t>
      </w:r>
      <w:r w:rsidR="00230B38" w:rsidRPr="00B80AAA">
        <w:rPr>
          <w:i/>
          <w:iCs/>
          <w:color w:val="000000" w:themeColor="text1"/>
        </w:rPr>
        <w:t xml:space="preserve"> </w:t>
      </w:r>
      <w:r w:rsidRPr="00B80AAA">
        <w:rPr>
          <w:i/>
          <w:iCs/>
          <w:color w:val="000000" w:themeColor="text1"/>
        </w:rPr>
        <w:t>June 1989…</w:t>
      </w:r>
      <w:r w:rsidR="00230B38" w:rsidRPr="00B80AAA">
        <w:rPr>
          <w:i/>
          <w:iCs/>
          <w:color w:val="000000" w:themeColor="text1"/>
        </w:rPr>
        <w:t>….</w:t>
      </w:r>
      <w:r w:rsidRPr="00B80AAA">
        <w:rPr>
          <w:i/>
          <w:iCs/>
          <w:color w:val="000000" w:themeColor="text1"/>
        </w:rPr>
        <w:t>…………</w:t>
      </w:r>
      <w:r w:rsidR="00597B81" w:rsidRPr="00B80AAA">
        <w:rPr>
          <w:i/>
          <w:iCs/>
          <w:color w:val="000000" w:themeColor="text1"/>
        </w:rPr>
        <w:t>…………………………………………………</w:t>
      </w:r>
      <w:r w:rsidR="00141A04" w:rsidRPr="00B80AAA">
        <w:rPr>
          <w:i/>
          <w:iCs/>
          <w:color w:val="000000" w:themeColor="text1"/>
        </w:rPr>
        <w:t>…</w:t>
      </w:r>
      <w:r w:rsidR="008D3D1C" w:rsidRPr="00B80AAA">
        <w:rPr>
          <w:i/>
          <w:iCs/>
          <w:color w:val="000000" w:themeColor="text1"/>
        </w:rPr>
        <w:t>.</w:t>
      </w:r>
      <w:r w:rsidR="00141A04" w:rsidRPr="00B80AAA">
        <w:rPr>
          <w:i/>
          <w:iCs/>
          <w:color w:val="000000" w:themeColor="text1"/>
        </w:rPr>
        <w:t>……</w:t>
      </w:r>
      <w:r w:rsidR="00F91716" w:rsidRPr="00B80AAA">
        <w:rPr>
          <w:i/>
          <w:iCs/>
          <w:color w:val="000000" w:themeColor="text1"/>
        </w:rPr>
        <w:t>……</w:t>
      </w:r>
      <w:r w:rsidR="00141A04" w:rsidRPr="00B80AAA">
        <w:rPr>
          <w:i/>
          <w:iCs/>
          <w:color w:val="000000" w:themeColor="text1"/>
        </w:rPr>
        <w:t>.</w:t>
      </w:r>
      <w:r w:rsidR="00597B81" w:rsidRPr="00B80AAA">
        <w:rPr>
          <w:i/>
          <w:iCs/>
          <w:color w:val="000000" w:themeColor="text1"/>
        </w:rPr>
        <w:t>….</w:t>
      </w:r>
      <w:r w:rsidR="00A27EC7" w:rsidRPr="00B80AAA">
        <w:rPr>
          <w:iCs/>
          <w:color w:val="000000" w:themeColor="text1"/>
        </w:rPr>
        <w:t>p.</w:t>
      </w:r>
      <w:r w:rsidR="00141A04" w:rsidRPr="00B80AAA">
        <w:rPr>
          <w:iCs/>
          <w:color w:val="000000" w:themeColor="text1"/>
        </w:rPr>
        <w:t xml:space="preserve"> 9,</w:t>
      </w:r>
      <w:r w:rsidR="00230B38" w:rsidRPr="00B80AAA">
        <w:rPr>
          <w:iCs/>
          <w:color w:val="000000" w:themeColor="text1"/>
        </w:rPr>
        <w:t xml:space="preserve"> 34</w:t>
      </w:r>
      <w:r w:rsidR="00F91716" w:rsidRPr="00B80AAA">
        <w:rPr>
          <w:iCs/>
          <w:color w:val="000000" w:themeColor="text1"/>
        </w:rPr>
        <w:t xml:space="preserve">, </w:t>
      </w:r>
      <w:r w:rsidR="00230B38" w:rsidRPr="00B80AAA">
        <w:rPr>
          <w:iCs/>
          <w:color w:val="000000" w:themeColor="text1"/>
        </w:rPr>
        <w:t>37, 39</w:t>
      </w:r>
    </w:p>
    <w:p w:rsidR="002838B7" w:rsidRPr="00B80AAA" w:rsidRDefault="002838B7" w:rsidP="00B80AAA">
      <w:pPr>
        <w:pStyle w:val="NormalWeb"/>
        <w:spacing w:line="480" w:lineRule="auto"/>
        <w:jc w:val="both"/>
        <w:rPr>
          <w:color w:val="000000" w:themeColor="text1"/>
        </w:rPr>
      </w:pPr>
      <w:r w:rsidRPr="00B80AAA">
        <w:rPr>
          <w:color w:val="000000" w:themeColor="text1"/>
        </w:rPr>
        <w:t xml:space="preserve">Organization of American States (OAS), </w:t>
      </w:r>
      <w:r w:rsidRPr="00B80AAA">
        <w:rPr>
          <w:i/>
          <w:color w:val="000000" w:themeColor="text1"/>
        </w:rPr>
        <w:t>Statute of the Inter-American Commission on Human Rights</w:t>
      </w:r>
      <w:r w:rsidRPr="00B80AAA">
        <w:rPr>
          <w:color w:val="000000" w:themeColor="text1"/>
        </w:rPr>
        <w:t>, 1 October 1979, O.A.S. Off. Rec. OEA/Ser.P/IX.0.2/80, Vol. 1 at</w:t>
      </w:r>
      <w:r w:rsidR="006056F0" w:rsidRPr="00B80AAA">
        <w:rPr>
          <w:color w:val="000000" w:themeColor="text1"/>
        </w:rPr>
        <w:t xml:space="preserve"> 88………………</w:t>
      </w:r>
      <w:r w:rsidR="004E5C1B" w:rsidRPr="00B80AAA">
        <w:rPr>
          <w:color w:val="000000" w:themeColor="text1"/>
        </w:rPr>
        <w:t>p. 18</w:t>
      </w:r>
    </w:p>
    <w:p w:rsidR="00782C2F" w:rsidRPr="00B80AAA" w:rsidRDefault="00782C2F" w:rsidP="00B80AAA">
      <w:pPr>
        <w:spacing w:after="0" w:line="480" w:lineRule="auto"/>
        <w:jc w:val="both"/>
        <w:rPr>
          <w:color w:val="000000" w:themeColor="text1"/>
        </w:rPr>
      </w:pPr>
      <w:r w:rsidRPr="00B80AAA">
        <w:rPr>
          <w:rFonts w:eastAsia="Times New Roman"/>
          <w:color w:val="000000"/>
          <w:lang w:eastAsia="en-TT"/>
        </w:rPr>
        <w:t>United Nations Conference on Environment and Development</w:t>
      </w:r>
      <w:r w:rsidRPr="00B80AAA">
        <w:rPr>
          <w:color w:val="000000" w:themeColor="text1"/>
        </w:rPr>
        <w:t xml:space="preserve">, </w:t>
      </w:r>
      <w:r w:rsidR="002838B7" w:rsidRPr="00B80AAA">
        <w:rPr>
          <w:i/>
          <w:color w:val="000000" w:themeColor="text1"/>
        </w:rPr>
        <w:t>Rio</w:t>
      </w:r>
      <w:r w:rsidRPr="00B80AAA">
        <w:rPr>
          <w:i/>
          <w:color w:val="000000" w:themeColor="text1"/>
        </w:rPr>
        <w:t xml:space="preserve"> Declaration on Environment and Development, </w:t>
      </w:r>
      <w:r w:rsidRPr="00B80AAA">
        <w:rPr>
          <w:color w:val="000000" w:themeColor="text1"/>
        </w:rPr>
        <w:t>UN Doc. A/CONF.151/26 (vol. I) /31 ILM 874 (1992)………………</w:t>
      </w:r>
      <w:r w:rsidR="009B3177" w:rsidRPr="00B80AAA">
        <w:rPr>
          <w:color w:val="000000" w:themeColor="text1"/>
        </w:rPr>
        <w:t>..</w:t>
      </w:r>
      <w:r w:rsidRPr="00B80AAA">
        <w:rPr>
          <w:color w:val="000000" w:themeColor="text1"/>
        </w:rPr>
        <w:t>…p. 32</w:t>
      </w:r>
    </w:p>
    <w:p w:rsidR="002838B7" w:rsidRPr="00B80AAA" w:rsidRDefault="002838B7" w:rsidP="00B80AAA">
      <w:pPr>
        <w:pStyle w:val="NormalWeb"/>
        <w:spacing w:line="480" w:lineRule="auto"/>
        <w:jc w:val="both"/>
        <w:rPr>
          <w:bCs/>
          <w:iCs/>
          <w:color w:val="000000" w:themeColor="text1"/>
        </w:rPr>
      </w:pPr>
      <w:r w:rsidRPr="00B80AAA">
        <w:rPr>
          <w:bCs/>
          <w:iCs/>
          <w:color w:val="000000" w:themeColor="text1"/>
        </w:rPr>
        <w:t>United Nations</w:t>
      </w:r>
      <w:r w:rsidR="006056F0" w:rsidRPr="00B80AAA">
        <w:rPr>
          <w:bCs/>
          <w:i/>
          <w:iCs/>
          <w:color w:val="000000" w:themeColor="text1"/>
        </w:rPr>
        <w:t>,</w:t>
      </w:r>
      <w:r w:rsidRPr="00B80AAA">
        <w:rPr>
          <w:bCs/>
          <w:i/>
          <w:iCs/>
          <w:color w:val="000000" w:themeColor="text1"/>
        </w:rPr>
        <w:t xml:space="preserve"> Declaration on the Rights of Indigenous Peoples</w:t>
      </w:r>
      <w:r w:rsidRPr="00B80AAA">
        <w:rPr>
          <w:bCs/>
          <w:iCs/>
          <w:color w:val="000000" w:themeColor="text1"/>
        </w:rPr>
        <w:t>: resolution / adopted by the General Assembly,</w:t>
      </w:r>
      <w:r w:rsidRPr="00B80AAA">
        <w:rPr>
          <w:rFonts w:eastAsiaTheme="minorHAnsi"/>
          <w:color w:val="000000" w:themeColor="text1"/>
          <w:shd w:val="clear" w:color="auto" w:fill="F9F9F9"/>
          <w:lang w:eastAsia="en-US"/>
        </w:rPr>
        <w:t xml:space="preserve"> </w:t>
      </w:r>
      <w:r w:rsidRPr="00B80AAA">
        <w:rPr>
          <w:bCs/>
          <w:iCs/>
          <w:color w:val="000000" w:themeColor="text1"/>
        </w:rPr>
        <w:t>A/RES/61/295…………………………………………………</w:t>
      </w:r>
      <w:r w:rsidR="00141A04" w:rsidRPr="00B80AAA">
        <w:rPr>
          <w:bCs/>
          <w:iCs/>
          <w:color w:val="000000" w:themeColor="text1"/>
        </w:rPr>
        <w:t>……</w:t>
      </w:r>
      <w:r w:rsidR="00BB534A" w:rsidRPr="00B80AAA">
        <w:rPr>
          <w:bCs/>
          <w:iCs/>
          <w:color w:val="000000" w:themeColor="text1"/>
        </w:rPr>
        <w:t>….p.</w:t>
      </w:r>
      <w:r w:rsidR="00141A04" w:rsidRPr="00B80AAA">
        <w:rPr>
          <w:bCs/>
          <w:iCs/>
          <w:color w:val="000000" w:themeColor="text1"/>
        </w:rPr>
        <w:t xml:space="preserve">9, </w:t>
      </w:r>
      <w:r w:rsidR="00BB534A" w:rsidRPr="00B80AAA">
        <w:rPr>
          <w:bCs/>
          <w:iCs/>
          <w:color w:val="000000" w:themeColor="text1"/>
        </w:rPr>
        <w:t>31</w:t>
      </w:r>
    </w:p>
    <w:p w:rsidR="00522CFC" w:rsidRPr="00B80AAA" w:rsidRDefault="00522CFC" w:rsidP="00B80AAA">
      <w:pPr>
        <w:pStyle w:val="NormalWeb"/>
        <w:spacing w:line="480" w:lineRule="auto"/>
        <w:jc w:val="both"/>
        <w:rPr>
          <w:color w:val="000000" w:themeColor="text1"/>
        </w:rPr>
      </w:pPr>
      <w:r w:rsidRPr="00B80AAA">
        <w:t xml:space="preserve">United Nations, </w:t>
      </w:r>
      <w:r w:rsidRPr="00B80AAA">
        <w:rPr>
          <w:i/>
        </w:rPr>
        <w:t>Vienna Convention on Diplomatic Relations</w:t>
      </w:r>
      <w:r w:rsidRPr="00B80AAA">
        <w:t xml:space="preserve"> 500 UNTS 95 / 23 UST 3227 / 55 AJIL 1064 (1961)……………</w:t>
      </w:r>
      <w:r w:rsidR="00943569" w:rsidRPr="00B80AAA">
        <w:t>………………………………………………………………...p. 30</w:t>
      </w:r>
    </w:p>
    <w:p w:rsidR="00210303" w:rsidRPr="00B80AAA" w:rsidRDefault="002838B7" w:rsidP="00B80AAA">
      <w:pPr>
        <w:pStyle w:val="NormalWeb"/>
        <w:spacing w:before="0" w:beforeAutospacing="0" w:after="0" w:afterAutospacing="0" w:line="480" w:lineRule="auto"/>
        <w:jc w:val="both"/>
        <w:rPr>
          <w:color w:val="000000" w:themeColor="text1"/>
        </w:rPr>
      </w:pPr>
      <w:r w:rsidRPr="00B80AAA">
        <w:rPr>
          <w:color w:val="000000" w:themeColor="text1"/>
        </w:rPr>
        <w:t xml:space="preserve">United Nations, </w:t>
      </w:r>
      <w:r w:rsidRPr="00B80AAA">
        <w:rPr>
          <w:i/>
          <w:iCs/>
          <w:color w:val="000000" w:themeColor="text1"/>
        </w:rPr>
        <w:t>Vienna Convention on the Law of Treaties</w:t>
      </w:r>
      <w:r w:rsidRPr="00B80AAA">
        <w:rPr>
          <w:color w:val="000000" w:themeColor="text1"/>
        </w:rPr>
        <w:t>, 23 May 1969, United Nations, Treaty Series, vol. 11</w:t>
      </w:r>
      <w:r w:rsidR="00FA362B" w:rsidRPr="00B80AAA">
        <w:rPr>
          <w:color w:val="000000" w:themeColor="text1"/>
        </w:rPr>
        <w:t>55……………………………………………………………</w:t>
      </w:r>
      <w:r w:rsidR="00BB534A" w:rsidRPr="00B80AAA">
        <w:rPr>
          <w:color w:val="000000" w:themeColor="text1"/>
        </w:rPr>
        <w:t>……….</w:t>
      </w:r>
      <w:r w:rsidR="00FA362B" w:rsidRPr="00B80AAA">
        <w:rPr>
          <w:color w:val="000000" w:themeColor="text1"/>
        </w:rPr>
        <w:t>…</w:t>
      </w:r>
      <w:r w:rsidR="00CB45EE" w:rsidRPr="00B80AAA">
        <w:rPr>
          <w:color w:val="000000" w:themeColor="text1"/>
        </w:rPr>
        <w:t xml:space="preserve">p. </w:t>
      </w:r>
      <w:r w:rsidR="00BB534A" w:rsidRPr="00B80AAA">
        <w:rPr>
          <w:color w:val="000000" w:themeColor="text1"/>
        </w:rPr>
        <w:t>31</w:t>
      </w:r>
    </w:p>
    <w:p w:rsidR="002838B7" w:rsidRPr="00B80AAA" w:rsidRDefault="002838B7" w:rsidP="00B80AAA">
      <w:pPr>
        <w:pStyle w:val="Heading2"/>
        <w:spacing w:line="480" w:lineRule="auto"/>
        <w:jc w:val="both"/>
        <w:rPr>
          <w:rFonts w:ascii="Times New Roman" w:hAnsi="Times New Roman" w:cs="Times New Roman"/>
          <w:b w:val="0"/>
          <w:color w:val="000000" w:themeColor="text1"/>
          <w:sz w:val="24"/>
          <w:szCs w:val="24"/>
          <w:lang w:eastAsia="en-TT"/>
        </w:rPr>
      </w:pPr>
      <w:r w:rsidRPr="00B80AAA">
        <w:rPr>
          <w:rFonts w:ascii="Times New Roman" w:hAnsi="Times New Roman" w:cs="Times New Roman"/>
          <w:color w:val="000000" w:themeColor="text1"/>
          <w:sz w:val="24"/>
          <w:szCs w:val="24"/>
          <w:lang w:eastAsia="en-TT"/>
        </w:rPr>
        <w:t xml:space="preserve">  </w:t>
      </w:r>
      <w:bookmarkStart w:id="11" w:name="_Toc441798770"/>
      <w:bookmarkStart w:id="12" w:name="_Toc446831624"/>
      <w:r w:rsidRPr="00B80AAA">
        <w:rPr>
          <w:rFonts w:ascii="Times New Roman" w:hAnsi="Times New Roman" w:cs="Times New Roman"/>
          <w:color w:val="000000" w:themeColor="text1"/>
          <w:sz w:val="24"/>
          <w:szCs w:val="24"/>
          <w:lang w:eastAsia="en-TT"/>
        </w:rPr>
        <w:t>1.2       Cases</w:t>
      </w:r>
      <w:bookmarkEnd w:id="11"/>
      <w:bookmarkEnd w:id="12"/>
    </w:p>
    <w:p w:rsidR="002838B7" w:rsidRPr="00B80AAA" w:rsidRDefault="002838B7" w:rsidP="00B80AAA">
      <w:pPr>
        <w:spacing w:after="0" w:line="480" w:lineRule="auto"/>
        <w:jc w:val="both"/>
        <w:rPr>
          <w:rFonts w:eastAsia="Times New Roman"/>
          <w:b/>
          <w:bCs/>
          <w:color w:val="000000" w:themeColor="text1"/>
          <w:lang w:eastAsia="en-TT"/>
        </w:rPr>
      </w:pPr>
      <w:r w:rsidRPr="00B80AAA">
        <w:rPr>
          <w:rFonts w:eastAsia="Times New Roman"/>
          <w:b/>
          <w:bCs/>
          <w:color w:val="000000" w:themeColor="text1"/>
          <w:lang w:eastAsia="en-TT"/>
        </w:rPr>
        <w:t>Inter-American Court of Human Rights</w:t>
      </w:r>
      <w:bookmarkStart w:id="13" w:name="_Toc440366944"/>
      <w:bookmarkStart w:id="14" w:name="_Toc441255183"/>
      <w:bookmarkStart w:id="15" w:name="_Toc441255680"/>
    </w:p>
    <w:p w:rsidR="002D16DC" w:rsidRPr="00B80AAA" w:rsidRDefault="002D16DC" w:rsidP="00B80AAA">
      <w:pPr>
        <w:spacing w:after="0" w:line="480" w:lineRule="auto"/>
        <w:jc w:val="both"/>
        <w:rPr>
          <w:rFonts w:eastAsia="Times New Roman"/>
          <w:b/>
          <w:bCs/>
          <w:color w:val="000000" w:themeColor="text1"/>
          <w:lang w:eastAsia="en-TT"/>
        </w:rPr>
      </w:pPr>
      <w:r w:rsidRPr="00B80AAA">
        <w:rPr>
          <w:i/>
          <w:color w:val="000000" w:themeColor="text1"/>
        </w:rPr>
        <w:t>Bámaca Velásquez v. Guatemala</w:t>
      </w:r>
      <w:r w:rsidRPr="00B80AAA">
        <w:rPr>
          <w:color w:val="000000" w:themeColor="text1"/>
        </w:rPr>
        <w:t>, Merits, Judgment, Inter-Am. Ct. H.R. (ser. C) No. 91, para 191 (Nov. 5, 2000………………………………………………………………………………….p.</w:t>
      </w:r>
      <w:r w:rsidR="00C53D1C" w:rsidRPr="00B80AAA">
        <w:rPr>
          <w:color w:val="000000" w:themeColor="text1"/>
        </w:rPr>
        <w:t xml:space="preserve"> 36</w:t>
      </w:r>
    </w:p>
    <w:p w:rsidR="002838B7" w:rsidRPr="00B80AAA" w:rsidRDefault="00DB0AC4" w:rsidP="00B80AAA">
      <w:pPr>
        <w:pStyle w:val="FootnoteText"/>
        <w:spacing w:line="480" w:lineRule="auto"/>
        <w:jc w:val="both"/>
        <w:rPr>
          <w:color w:val="000000" w:themeColor="text1"/>
          <w:sz w:val="24"/>
          <w:szCs w:val="24"/>
        </w:rPr>
      </w:pPr>
      <w:hyperlink r:id="rId8" w:history="1">
        <w:r w:rsidR="002838B7" w:rsidRPr="00B80AAA">
          <w:rPr>
            <w:rStyle w:val="Hyperlink"/>
            <w:i/>
            <w:color w:val="000000" w:themeColor="text1"/>
            <w:sz w:val="24"/>
            <w:szCs w:val="24"/>
            <w:u w:val="none"/>
          </w:rPr>
          <w:t>Cantoral-Huamaní and García-Santa Cruz v. Per</w:t>
        </w:r>
        <w:r w:rsidR="000957FB" w:rsidRPr="00B80AAA">
          <w:rPr>
            <w:rStyle w:val="Hyperlink"/>
            <w:i/>
            <w:color w:val="000000" w:themeColor="text1"/>
            <w:sz w:val="24"/>
            <w:szCs w:val="24"/>
            <w:u w:val="none"/>
          </w:rPr>
          <w:t>ú</w:t>
        </w:r>
      </w:hyperlink>
      <w:r w:rsidR="002838B7" w:rsidRPr="00B80AAA">
        <w:rPr>
          <w:rStyle w:val="Hyperlink"/>
          <w:i/>
          <w:color w:val="000000" w:themeColor="text1"/>
          <w:sz w:val="24"/>
          <w:szCs w:val="24"/>
          <w:u w:val="none"/>
        </w:rPr>
        <w:t xml:space="preserve">, </w:t>
      </w:r>
      <w:r w:rsidR="002838B7" w:rsidRPr="00B80AAA">
        <w:rPr>
          <w:color w:val="000000" w:themeColor="text1"/>
          <w:sz w:val="24"/>
          <w:szCs w:val="24"/>
        </w:rPr>
        <w:t>Preliminary Objections, Merits, Reparations and Costs, IACHR, Series C No 167, IHRL 3050 (IACHR 2007), 10</w:t>
      </w:r>
      <w:r w:rsidR="002838B7" w:rsidRPr="00B80AAA">
        <w:rPr>
          <w:color w:val="000000" w:themeColor="text1"/>
          <w:sz w:val="24"/>
          <w:szCs w:val="24"/>
          <w:vertAlign w:val="superscript"/>
        </w:rPr>
        <w:t>th</w:t>
      </w:r>
      <w:r w:rsidR="002838B7" w:rsidRPr="00B80AAA">
        <w:rPr>
          <w:color w:val="000000" w:themeColor="text1"/>
          <w:sz w:val="24"/>
          <w:szCs w:val="24"/>
        </w:rPr>
        <w:t xml:space="preserve"> July 2007, Inter-American Court of Human Rights [IACtHR]</w:t>
      </w:r>
      <w:r w:rsidR="000957FB" w:rsidRPr="00B80AAA">
        <w:rPr>
          <w:color w:val="000000" w:themeColor="text1"/>
          <w:sz w:val="24"/>
          <w:szCs w:val="24"/>
        </w:rPr>
        <w:t>……………………………………………………</w:t>
      </w:r>
      <w:r w:rsidR="00365EBD" w:rsidRPr="00B80AAA">
        <w:rPr>
          <w:color w:val="000000" w:themeColor="text1"/>
          <w:sz w:val="24"/>
          <w:szCs w:val="24"/>
        </w:rPr>
        <w:t>…</w:t>
      </w:r>
      <w:r w:rsidR="000957FB" w:rsidRPr="00B80AAA">
        <w:rPr>
          <w:color w:val="000000" w:themeColor="text1"/>
          <w:sz w:val="24"/>
          <w:szCs w:val="24"/>
        </w:rPr>
        <w:t>..</w:t>
      </w:r>
      <w:r w:rsidR="00C53D1C" w:rsidRPr="00B80AAA">
        <w:rPr>
          <w:color w:val="000000" w:themeColor="text1"/>
          <w:sz w:val="24"/>
          <w:szCs w:val="24"/>
        </w:rPr>
        <w:t>p. 26</w:t>
      </w:r>
      <w:r w:rsidR="000957FB" w:rsidRPr="00B80AAA">
        <w:rPr>
          <w:color w:val="000000" w:themeColor="text1"/>
          <w:sz w:val="24"/>
          <w:szCs w:val="24"/>
        </w:rPr>
        <w:t>, 27</w:t>
      </w:r>
    </w:p>
    <w:p w:rsidR="002838B7" w:rsidRPr="00B80AAA" w:rsidRDefault="002838B7" w:rsidP="00B80AAA">
      <w:pPr>
        <w:spacing w:line="480" w:lineRule="auto"/>
        <w:jc w:val="both"/>
        <w:rPr>
          <w:color w:val="000000" w:themeColor="text1"/>
        </w:rPr>
      </w:pPr>
      <w:r w:rsidRPr="00B80AAA">
        <w:rPr>
          <w:i/>
          <w:color w:val="000000" w:themeColor="text1"/>
        </w:rPr>
        <w:t>Case of the Afro-descendant Communities Displaced from the Cacarica River Basin (Operation Genesis) v. Colombia</w:t>
      </w:r>
      <w:r w:rsidRPr="00B80AAA">
        <w:rPr>
          <w:color w:val="000000" w:themeColor="text1"/>
        </w:rPr>
        <w:t xml:space="preserve"> (IACtHR 20 N</w:t>
      </w:r>
      <w:r w:rsidR="00BB534A" w:rsidRPr="00B80AAA">
        <w:rPr>
          <w:color w:val="000000" w:themeColor="text1"/>
        </w:rPr>
        <w:t>ovember 2011)………………………………...</w:t>
      </w:r>
      <w:r w:rsidR="0044555A" w:rsidRPr="00B80AAA">
        <w:rPr>
          <w:color w:val="000000" w:themeColor="text1"/>
        </w:rPr>
        <w:t>.</w:t>
      </w:r>
      <w:r w:rsidR="00885958" w:rsidRPr="00B80AAA">
        <w:rPr>
          <w:color w:val="000000" w:themeColor="text1"/>
        </w:rPr>
        <w:t xml:space="preserve">p. </w:t>
      </w:r>
      <w:r w:rsidR="00E973BF" w:rsidRPr="00B80AAA">
        <w:rPr>
          <w:color w:val="000000" w:themeColor="text1"/>
        </w:rPr>
        <w:t>31</w:t>
      </w:r>
      <w:r w:rsidR="0044555A" w:rsidRPr="00B80AAA">
        <w:rPr>
          <w:color w:val="000000" w:themeColor="text1"/>
        </w:rPr>
        <w:t xml:space="preserve">, </w:t>
      </w:r>
      <w:r w:rsidR="002D26C4" w:rsidRPr="00B80AAA">
        <w:rPr>
          <w:color w:val="000000" w:themeColor="text1"/>
        </w:rPr>
        <w:t>3</w:t>
      </w:r>
      <w:r w:rsidR="00E973BF" w:rsidRPr="00B80AAA">
        <w:rPr>
          <w:color w:val="000000" w:themeColor="text1"/>
        </w:rPr>
        <w:t>6, 39</w:t>
      </w:r>
    </w:p>
    <w:bookmarkEnd w:id="13"/>
    <w:bookmarkEnd w:id="14"/>
    <w:bookmarkEnd w:id="15"/>
    <w:p w:rsidR="002838B7" w:rsidRPr="00B80AAA" w:rsidRDefault="00DD041E" w:rsidP="00B80AAA">
      <w:pPr>
        <w:spacing w:after="0" w:line="480" w:lineRule="auto"/>
        <w:jc w:val="both"/>
        <w:rPr>
          <w:rStyle w:val="itemtitle"/>
          <w:color w:val="000000" w:themeColor="text1"/>
        </w:rPr>
      </w:pPr>
      <w:r w:rsidRPr="00B80AAA">
        <w:rPr>
          <w:i/>
        </w:rPr>
        <w:lastRenderedPageBreak/>
        <w:t>Case of Baldeón-García v. Perú</w:t>
      </w:r>
      <w:r w:rsidRPr="00B80AAA">
        <w:t>, Yllaconza Ramirez de Baldeón and ors (on behalf of Baldeón-García) v. Perú, Merits, reparations and costs IACHR Series C No 147 IHRL 1531 (IACHR 2006), 6</w:t>
      </w:r>
      <w:r w:rsidRPr="00B80AAA">
        <w:rPr>
          <w:vertAlign w:val="superscript"/>
        </w:rPr>
        <w:t>th</w:t>
      </w:r>
      <w:r w:rsidRPr="00B80AAA">
        <w:t xml:space="preserve"> April 2006, Inter-American Court on Human Rights [</w:t>
      </w:r>
      <w:r w:rsidR="002A6898" w:rsidRPr="00B80AAA">
        <w:t>IACtHR]…</w:t>
      </w:r>
      <w:r w:rsidRPr="00B80AAA">
        <w:t>.</w:t>
      </w:r>
      <w:r w:rsidR="00CB45EE" w:rsidRPr="00B80AAA">
        <w:rPr>
          <w:rStyle w:val="itemtitle"/>
          <w:color w:val="000000" w:themeColor="text1"/>
        </w:rPr>
        <w:t xml:space="preserve">p. </w:t>
      </w:r>
      <w:r w:rsidR="004F4736" w:rsidRPr="00B80AAA">
        <w:rPr>
          <w:rStyle w:val="itemtitle"/>
          <w:color w:val="000000" w:themeColor="text1"/>
        </w:rPr>
        <w:t xml:space="preserve">19, </w:t>
      </w:r>
      <w:r w:rsidR="002A6898" w:rsidRPr="00B80AAA">
        <w:rPr>
          <w:rStyle w:val="itemtitle"/>
          <w:color w:val="000000" w:themeColor="text1"/>
        </w:rPr>
        <w:t>25</w:t>
      </w:r>
      <w:r w:rsidR="00A06536" w:rsidRPr="00B80AAA">
        <w:rPr>
          <w:rStyle w:val="itemtitle"/>
          <w:color w:val="000000" w:themeColor="text1"/>
        </w:rPr>
        <w:t>, 28</w:t>
      </w:r>
      <w:r w:rsidR="002A6898" w:rsidRPr="00B80AAA">
        <w:rPr>
          <w:rStyle w:val="itemtitle"/>
          <w:color w:val="000000" w:themeColor="text1"/>
        </w:rPr>
        <w:t>, 29, 30</w:t>
      </w:r>
    </w:p>
    <w:p w:rsidR="002838B7" w:rsidRPr="00B80AAA" w:rsidRDefault="002838B7" w:rsidP="00B80AAA">
      <w:pPr>
        <w:pStyle w:val="FootnoteText"/>
        <w:spacing w:line="480" w:lineRule="auto"/>
        <w:jc w:val="both"/>
        <w:rPr>
          <w:color w:val="000000" w:themeColor="text1"/>
          <w:sz w:val="24"/>
          <w:szCs w:val="24"/>
        </w:rPr>
      </w:pPr>
      <w:r w:rsidRPr="00371348">
        <w:rPr>
          <w:i/>
          <w:iCs/>
          <w:color w:val="000000" w:themeColor="text1"/>
          <w:sz w:val="24"/>
          <w:szCs w:val="24"/>
          <w:lang w:val="es-ES"/>
        </w:rPr>
        <w:t>Case of the Pueblo Bello Massacre v. Colombia</w:t>
      </w:r>
      <w:r w:rsidRPr="00371348">
        <w:rPr>
          <w:color w:val="000000" w:themeColor="text1"/>
          <w:sz w:val="24"/>
          <w:szCs w:val="24"/>
          <w:shd w:val="clear" w:color="auto" w:fill="F9F9F9"/>
          <w:lang w:val="es-ES"/>
        </w:rPr>
        <w:t xml:space="preserve"> </w:t>
      </w:r>
      <w:r w:rsidRPr="00371348">
        <w:rPr>
          <w:color w:val="000000" w:themeColor="text1"/>
          <w:sz w:val="24"/>
          <w:szCs w:val="24"/>
          <w:lang w:val="es-ES"/>
        </w:rPr>
        <w:t xml:space="preserve">Serie C No. 140. </w:t>
      </w:r>
      <w:r w:rsidRPr="00B80AAA">
        <w:rPr>
          <w:color w:val="000000" w:themeColor="text1"/>
          <w:sz w:val="24"/>
          <w:szCs w:val="24"/>
        </w:rPr>
        <w:t>Inter-American Court of Human Rights (IACrtHR), 31 January 2006</w:t>
      </w:r>
      <w:r w:rsidR="00D23180" w:rsidRPr="00B80AAA">
        <w:rPr>
          <w:color w:val="000000" w:themeColor="text1"/>
          <w:sz w:val="24"/>
          <w:szCs w:val="24"/>
        </w:rPr>
        <w:t>……………………………………………</w:t>
      </w:r>
      <w:r w:rsidR="00E73B77" w:rsidRPr="00B80AAA">
        <w:rPr>
          <w:color w:val="000000" w:themeColor="text1"/>
          <w:sz w:val="24"/>
          <w:szCs w:val="24"/>
        </w:rPr>
        <w:t>..</w:t>
      </w:r>
      <w:r w:rsidR="00D23180" w:rsidRPr="00B80AAA">
        <w:rPr>
          <w:color w:val="000000" w:themeColor="text1"/>
          <w:sz w:val="24"/>
          <w:szCs w:val="24"/>
        </w:rPr>
        <w:t>.</w:t>
      </w:r>
      <w:r w:rsidR="00CB45EE" w:rsidRPr="00B80AAA">
        <w:rPr>
          <w:color w:val="000000" w:themeColor="text1"/>
          <w:sz w:val="24"/>
          <w:szCs w:val="24"/>
        </w:rPr>
        <w:t xml:space="preserve">p. </w:t>
      </w:r>
      <w:r w:rsidR="00893A85" w:rsidRPr="00B80AAA">
        <w:rPr>
          <w:color w:val="000000" w:themeColor="text1"/>
          <w:sz w:val="24"/>
          <w:szCs w:val="24"/>
        </w:rPr>
        <w:t>21, 23</w:t>
      </w:r>
    </w:p>
    <w:p w:rsidR="002838B7" w:rsidRPr="00B80AAA" w:rsidRDefault="00C53D1C" w:rsidP="00B80AAA">
      <w:pPr>
        <w:spacing w:line="480" w:lineRule="auto"/>
        <w:jc w:val="both"/>
        <w:rPr>
          <w:color w:val="000000" w:themeColor="text1"/>
        </w:rPr>
      </w:pPr>
      <w:r w:rsidRPr="00B80AAA">
        <w:rPr>
          <w:bCs/>
          <w:i/>
          <w:iCs/>
          <w:color w:val="000000" w:themeColor="text1"/>
        </w:rPr>
        <w:t>Chitay Nech et al.</w:t>
      </w:r>
      <w:r w:rsidR="002838B7" w:rsidRPr="00B80AAA">
        <w:rPr>
          <w:bCs/>
          <w:i/>
          <w:iCs/>
          <w:color w:val="000000" w:themeColor="text1"/>
        </w:rPr>
        <w:t xml:space="preserve"> v. Guatemala</w:t>
      </w:r>
      <w:r w:rsidR="002838B7" w:rsidRPr="00B80AAA">
        <w:rPr>
          <w:bCs/>
          <w:iCs/>
          <w:color w:val="000000" w:themeColor="text1"/>
        </w:rPr>
        <w:t xml:space="preserve">, </w:t>
      </w:r>
      <w:r w:rsidR="00AC40D7" w:rsidRPr="00B80AAA">
        <w:rPr>
          <w:color w:val="000000" w:themeColor="text1"/>
        </w:rPr>
        <w:t>Serie</w:t>
      </w:r>
      <w:r w:rsidR="00DD041E" w:rsidRPr="00B80AAA">
        <w:rPr>
          <w:color w:val="000000" w:themeColor="text1"/>
        </w:rPr>
        <w:t>s</w:t>
      </w:r>
      <w:r w:rsidR="00AC40D7" w:rsidRPr="00B80AAA">
        <w:rPr>
          <w:color w:val="000000" w:themeColor="text1"/>
        </w:rPr>
        <w:t xml:space="preserve"> C No. 212, Inter-American Court of Human Rights (IACrtHR), 25 May 2010</w:t>
      </w:r>
      <w:r w:rsidR="00AC40D7" w:rsidRPr="00B80AAA">
        <w:rPr>
          <w:bCs/>
          <w:iCs/>
          <w:color w:val="000000" w:themeColor="text1"/>
        </w:rPr>
        <w:t xml:space="preserve"> ………………………………………………………</w:t>
      </w:r>
      <w:r w:rsidRPr="00B80AAA">
        <w:rPr>
          <w:bCs/>
          <w:iCs/>
          <w:color w:val="000000" w:themeColor="text1"/>
        </w:rPr>
        <w:t>..............</w:t>
      </w:r>
      <w:r w:rsidR="00E73B77" w:rsidRPr="00B80AAA">
        <w:rPr>
          <w:bCs/>
          <w:iCs/>
          <w:color w:val="000000" w:themeColor="text1"/>
        </w:rPr>
        <w:t>.</w:t>
      </w:r>
      <w:r w:rsidR="00AC40D7" w:rsidRPr="00B80AAA">
        <w:rPr>
          <w:bCs/>
          <w:iCs/>
          <w:color w:val="000000" w:themeColor="text1"/>
        </w:rPr>
        <w:t>.</w:t>
      </w:r>
      <w:r w:rsidR="002E61E0" w:rsidRPr="00B80AAA">
        <w:rPr>
          <w:bCs/>
          <w:iCs/>
          <w:color w:val="000000" w:themeColor="text1"/>
        </w:rPr>
        <w:t>p. 27, 28</w:t>
      </w:r>
    </w:p>
    <w:p w:rsidR="002838B7" w:rsidRPr="00B80AAA" w:rsidRDefault="00A06536" w:rsidP="00B80AAA">
      <w:pPr>
        <w:spacing w:after="0" w:line="480" w:lineRule="auto"/>
        <w:jc w:val="both"/>
        <w:rPr>
          <w:bCs/>
          <w:iCs/>
          <w:color w:val="000000" w:themeColor="text1"/>
        </w:rPr>
      </w:pPr>
      <w:r w:rsidRPr="00B80AAA">
        <w:rPr>
          <w:bCs/>
          <w:i/>
          <w:iCs/>
          <w:color w:val="000000" w:themeColor="text1"/>
        </w:rPr>
        <w:t xml:space="preserve">Gomez </w:t>
      </w:r>
      <w:r w:rsidR="002838B7" w:rsidRPr="00B80AAA">
        <w:rPr>
          <w:bCs/>
          <w:i/>
          <w:iCs/>
          <w:color w:val="000000" w:themeColor="text1"/>
        </w:rPr>
        <w:t>Palomino v</w:t>
      </w:r>
      <w:r w:rsidR="008918B5" w:rsidRPr="00B80AAA">
        <w:rPr>
          <w:bCs/>
          <w:i/>
          <w:iCs/>
          <w:color w:val="000000" w:themeColor="text1"/>
        </w:rPr>
        <w:t>.</w:t>
      </w:r>
      <w:r w:rsidR="00AB1CCF" w:rsidRPr="00B80AAA">
        <w:rPr>
          <w:bCs/>
          <w:i/>
          <w:iCs/>
          <w:color w:val="000000" w:themeColor="text1"/>
        </w:rPr>
        <w:t xml:space="preserve"> Perú</w:t>
      </w:r>
      <w:r w:rsidR="002838B7" w:rsidRPr="00B80AAA">
        <w:rPr>
          <w:bCs/>
          <w:iCs/>
          <w:color w:val="000000" w:themeColor="text1"/>
        </w:rPr>
        <w:t xml:space="preserve"> (Merits, Reparations and Courts) IACtHR, Judgment of November 22 2005…………</w:t>
      </w:r>
      <w:r w:rsidR="0001637C" w:rsidRPr="00B80AAA">
        <w:rPr>
          <w:bCs/>
          <w:iCs/>
          <w:color w:val="000000" w:themeColor="text1"/>
        </w:rPr>
        <w:t>…………………………………………………………………………</w:t>
      </w:r>
      <w:r w:rsidR="00BD4AF1" w:rsidRPr="00B80AAA">
        <w:rPr>
          <w:bCs/>
          <w:iCs/>
          <w:color w:val="000000" w:themeColor="text1"/>
        </w:rPr>
        <w:t>…</w:t>
      </w:r>
      <w:r w:rsidR="005501CE" w:rsidRPr="00B80AAA">
        <w:rPr>
          <w:bCs/>
          <w:iCs/>
          <w:color w:val="000000" w:themeColor="text1"/>
        </w:rPr>
        <w:t>……</w:t>
      </w:r>
      <w:r w:rsidR="00CB45EE" w:rsidRPr="00B80AAA">
        <w:rPr>
          <w:bCs/>
          <w:iCs/>
          <w:color w:val="000000" w:themeColor="text1"/>
        </w:rPr>
        <w:t xml:space="preserve">p. </w:t>
      </w:r>
      <w:r w:rsidR="00782C2F" w:rsidRPr="00B80AAA">
        <w:rPr>
          <w:bCs/>
          <w:iCs/>
          <w:color w:val="000000" w:themeColor="text1"/>
        </w:rPr>
        <w:t>26</w:t>
      </w:r>
    </w:p>
    <w:p w:rsidR="002838B7" w:rsidRPr="00B80AAA" w:rsidRDefault="005501CE" w:rsidP="00B80AAA">
      <w:pPr>
        <w:spacing w:after="0" w:line="480" w:lineRule="auto"/>
        <w:jc w:val="both"/>
        <w:rPr>
          <w:color w:val="000000" w:themeColor="text1"/>
        </w:rPr>
      </w:pPr>
      <w:r w:rsidRPr="00B80AAA">
        <w:rPr>
          <w:i/>
          <w:color w:val="000000" w:themeColor="text1"/>
        </w:rPr>
        <w:t xml:space="preserve">Habeas Corpus </w:t>
      </w:r>
      <w:r w:rsidR="002838B7" w:rsidRPr="00B80AAA">
        <w:rPr>
          <w:i/>
          <w:color w:val="000000" w:themeColor="text1"/>
        </w:rPr>
        <w:t>in Emergency Situations</w:t>
      </w:r>
      <w:r w:rsidR="002838B7" w:rsidRPr="00B80AAA">
        <w:rPr>
          <w:color w:val="000000" w:themeColor="text1"/>
        </w:rPr>
        <w:t xml:space="preserve"> (arts. 27(2), 25(1) and 7(6) American Convention on Human Rights), Advisory Opinion OC-8/87 of January 30, 1987, ser. A: Judgments and Opinions, No. 8 (1987</w:t>
      </w:r>
      <w:r w:rsidR="00BB534A" w:rsidRPr="00B80AAA">
        <w:rPr>
          <w:color w:val="000000" w:themeColor="text1"/>
        </w:rPr>
        <w:t>)…………………………………………………………………..</w:t>
      </w:r>
      <w:r w:rsidR="004A4D7B" w:rsidRPr="00B80AAA">
        <w:rPr>
          <w:color w:val="000000" w:themeColor="text1"/>
        </w:rPr>
        <w:t>.</w:t>
      </w:r>
      <w:r w:rsidR="00E73B77" w:rsidRPr="00B80AAA">
        <w:rPr>
          <w:color w:val="000000" w:themeColor="text1"/>
        </w:rPr>
        <w:t>.</w:t>
      </w:r>
      <w:r w:rsidR="00782C2F" w:rsidRPr="00B80AAA">
        <w:rPr>
          <w:color w:val="000000" w:themeColor="text1"/>
        </w:rPr>
        <w:t>p. 20, 33</w:t>
      </w:r>
    </w:p>
    <w:p w:rsidR="008918B5" w:rsidRPr="00B80AAA" w:rsidRDefault="008918B5" w:rsidP="00B80AAA">
      <w:pPr>
        <w:spacing w:after="0" w:line="480" w:lineRule="auto"/>
        <w:jc w:val="both"/>
        <w:rPr>
          <w:color w:val="000000" w:themeColor="text1"/>
        </w:rPr>
      </w:pPr>
      <w:r w:rsidRPr="00B80AAA">
        <w:rPr>
          <w:i/>
          <w:color w:val="000000" w:themeColor="text1"/>
        </w:rPr>
        <w:t>Mangas v. Nicaragua</w:t>
      </w:r>
      <w:r w:rsidRPr="00B80AAA">
        <w:rPr>
          <w:color w:val="000000" w:themeColor="text1"/>
        </w:rPr>
        <w:t xml:space="preserve">, </w:t>
      </w:r>
      <w:r w:rsidRPr="00B80AAA">
        <w:t>Case 11.218, Report Nº 52/97, Inter-Am. C.H.R February 18, 1998…</w:t>
      </w:r>
      <w:r w:rsidR="00C7705B" w:rsidRPr="00B80AAA">
        <w:t>……………………………………………………………………………………..</w:t>
      </w:r>
      <w:r w:rsidRPr="00B80AAA">
        <w:t>p.19</w:t>
      </w:r>
      <w:r w:rsidR="00C7705B" w:rsidRPr="00B80AAA">
        <w:t>, 20</w:t>
      </w:r>
    </w:p>
    <w:p w:rsidR="002838B7" w:rsidRPr="00371348" w:rsidRDefault="002838B7" w:rsidP="00B80AAA">
      <w:pPr>
        <w:spacing w:line="480" w:lineRule="auto"/>
        <w:jc w:val="both"/>
        <w:rPr>
          <w:bCs/>
          <w:color w:val="000000" w:themeColor="text1"/>
          <w:lang w:val="pt-BR"/>
        </w:rPr>
      </w:pPr>
      <w:r w:rsidRPr="00371348">
        <w:rPr>
          <w:i/>
          <w:color w:val="000000" w:themeColor="text1"/>
          <w:lang w:val="pt-BR"/>
        </w:rPr>
        <w:t>Maria Da Penha v</w:t>
      </w:r>
      <w:r w:rsidR="008918B5" w:rsidRPr="00371348">
        <w:rPr>
          <w:i/>
          <w:color w:val="000000" w:themeColor="text1"/>
          <w:lang w:val="pt-BR"/>
        </w:rPr>
        <w:t>.</w:t>
      </w:r>
      <w:r w:rsidRPr="00371348">
        <w:rPr>
          <w:i/>
          <w:color w:val="000000" w:themeColor="text1"/>
          <w:lang w:val="pt-BR"/>
        </w:rPr>
        <w:t xml:space="preserve"> Brasil</w:t>
      </w:r>
      <w:r w:rsidRPr="00371348">
        <w:rPr>
          <w:color w:val="000000" w:themeColor="text1"/>
          <w:lang w:val="pt-BR"/>
        </w:rPr>
        <w:t xml:space="preserve">, </w:t>
      </w:r>
      <w:r w:rsidRPr="00371348">
        <w:rPr>
          <w:bCs/>
          <w:color w:val="000000" w:themeColor="text1"/>
          <w:lang w:val="pt-BR"/>
        </w:rPr>
        <w:t>Case 12.051, Report No. 54/01, OEA/Ser.L/V/II.111 Doc. 20 rev. at 704 (2000)…………</w:t>
      </w:r>
      <w:r w:rsidR="00A94D14" w:rsidRPr="00371348">
        <w:rPr>
          <w:bCs/>
          <w:color w:val="000000" w:themeColor="text1"/>
          <w:lang w:val="pt-BR"/>
        </w:rPr>
        <w:t>………………………………………………………………………</w:t>
      </w:r>
      <w:r w:rsidR="005501CE" w:rsidRPr="00371348">
        <w:rPr>
          <w:bCs/>
          <w:color w:val="000000" w:themeColor="text1"/>
          <w:lang w:val="pt-BR"/>
        </w:rPr>
        <w:t>…..</w:t>
      </w:r>
      <w:r w:rsidR="00A94D14" w:rsidRPr="00371348">
        <w:rPr>
          <w:bCs/>
          <w:color w:val="000000" w:themeColor="text1"/>
          <w:lang w:val="pt-BR"/>
        </w:rPr>
        <w:t xml:space="preserve">p. </w:t>
      </w:r>
      <w:r w:rsidR="001D5C8B" w:rsidRPr="00371348">
        <w:rPr>
          <w:bCs/>
          <w:color w:val="000000" w:themeColor="text1"/>
          <w:lang w:val="pt-BR"/>
        </w:rPr>
        <w:t>33</w:t>
      </w:r>
    </w:p>
    <w:p w:rsidR="002838B7" w:rsidRPr="00B80AAA" w:rsidRDefault="002838B7" w:rsidP="00B80AAA">
      <w:pPr>
        <w:spacing w:line="480" w:lineRule="auto"/>
        <w:jc w:val="both"/>
        <w:rPr>
          <w:bCs/>
          <w:color w:val="000000" w:themeColor="text1"/>
        </w:rPr>
      </w:pPr>
      <w:r w:rsidRPr="00B80AAA">
        <w:rPr>
          <w:i/>
          <w:color w:val="000000" w:themeColor="text1"/>
        </w:rPr>
        <w:t>Mayagna (Sumo) Awas Tingni Community v. Nicaragua</w:t>
      </w:r>
      <w:r w:rsidRPr="00B80AAA">
        <w:rPr>
          <w:color w:val="000000" w:themeColor="text1"/>
        </w:rPr>
        <w:t>, Merits, Reparations and Costs, Judgment, Inter-Am. Ct. H.R. (ser. C) No. 79 (Aug. 31, 2001)</w:t>
      </w:r>
      <w:r w:rsidR="001D5C8B" w:rsidRPr="00B80AAA">
        <w:rPr>
          <w:color w:val="000000" w:themeColor="text1"/>
        </w:rPr>
        <w:t>………………………………p. 34</w:t>
      </w:r>
    </w:p>
    <w:p w:rsidR="002838B7" w:rsidRPr="00B80AAA" w:rsidRDefault="000F5131" w:rsidP="00B80AAA">
      <w:pPr>
        <w:shd w:val="clear" w:color="auto" w:fill="FFFFFF"/>
        <w:spacing w:line="480" w:lineRule="auto"/>
        <w:jc w:val="both"/>
        <w:rPr>
          <w:rFonts w:eastAsia="Times New Roman"/>
          <w:color w:val="000000" w:themeColor="text1"/>
          <w:lang w:eastAsia="en-TT"/>
        </w:rPr>
      </w:pPr>
      <w:r w:rsidRPr="00B80AAA">
        <w:rPr>
          <w:bCs/>
          <w:i/>
          <w:iCs/>
          <w:color w:val="000000" w:themeColor="text1"/>
        </w:rPr>
        <w:t>Sarama</w:t>
      </w:r>
      <w:r w:rsidR="002838B7" w:rsidRPr="00B80AAA">
        <w:rPr>
          <w:bCs/>
          <w:i/>
          <w:iCs/>
          <w:color w:val="000000" w:themeColor="text1"/>
        </w:rPr>
        <w:t>ka People v</w:t>
      </w:r>
      <w:r w:rsidR="008918B5" w:rsidRPr="00B80AAA">
        <w:rPr>
          <w:bCs/>
          <w:i/>
          <w:iCs/>
          <w:color w:val="000000" w:themeColor="text1"/>
        </w:rPr>
        <w:t>.</w:t>
      </w:r>
      <w:r w:rsidR="002838B7" w:rsidRPr="00B80AAA">
        <w:rPr>
          <w:bCs/>
          <w:i/>
          <w:iCs/>
          <w:color w:val="000000" w:themeColor="text1"/>
        </w:rPr>
        <w:t xml:space="preserve"> Suriname</w:t>
      </w:r>
      <w:r w:rsidR="002838B7" w:rsidRPr="00B80AAA">
        <w:rPr>
          <w:color w:val="000000" w:themeColor="text1"/>
        </w:rPr>
        <w:t xml:space="preserve"> </w:t>
      </w:r>
      <w:r w:rsidR="002838B7" w:rsidRPr="00B80AAA">
        <w:rPr>
          <w:rFonts w:eastAsia="Times New Roman"/>
          <w:color w:val="000000" w:themeColor="text1"/>
          <w:lang w:eastAsia="en-TT"/>
        </w:rPr>
        <w:t>ACHR Series C No 185 (Official Citation) IHRL 3058 (IACHR 2008)…………</w:t>
      </w:r>
      <w:r w:rsidRPr="00B80AAA">
        <w:rPr>
          <w:rFonts w:eastAsia="Times New Roman"/>
          <w:color w:val="000000" w:themeColor="text1"/>
          <w:lang w:eastAsia="en-TT"/>
        </w:rPr>
        <w:t>……………</w:t>
      </w:r>
      <w:r w:rsidR="001D5C8B" w:rsidRPr="00B80AAA">
        <w:rPr>
          <w:rFonts w:eastAsia="Times New Roman"/>
          <w:color w:val="000000" w:themeColor="text1"/>
          <w:lang w:eastAsia="en-TT"/>
        </w:rPr>
        <w:t>……………………………………………………………....p. 34</w:t>
      </w:r>
      <w:r w:rsidR="00357C2F" w:rsidRPr="00B80AAA">
        <w:rPr>
          <w:rFonts w:eastAsia="Times New Roman"/>
          <w:color w:val="000000" w:themeColor="text1"/>
          <w:lang w:eastAsia="en-TT"/>
        </w:rPr>
        <w:t xml:space="preserve">, </w:t>
      </w:r>
      <w:r w:rsidR="001D5C8B" w:rsidRPr="00B80AAA">
        <w:rPr>
          <w:rFonts w:eastAsia="Times New Roman"/>
          <w:color w:val="000000" w:themeColor="text1"/>
          <w:lang w:eastAsia="en-TT"/>
        </w:rPr>
        <w:t>38</w:t>
      </w:r>
    </w:p>
    <w:p w:rsidR="002838B7" w:rsidRPr="00B80AAA" w:rsidRDefault="002838B7" w:rsidP="00B80AAA">
      <w:pPr>
        <w:pStyle w:val="NormalWeb"/>
        <w:spacing w:before="0" w:beforeAutospacing="0" w:after="0" w:afterAutospacing="0" w:line="480" w:lineRule="auto"/>
        <w:jc w:val="both"/>
        <w:rPr>
          <w:color w:val="000000" w:themeColor="text1"/>
        </w:rPr>
      </w:pPr>
      <w:r w:rsidRPr="00B80AAA">
        <w:rPr>
          <w:i/>
          <w:iCs/>
          <w:color w:val="000000" w:themeColor="text1"/>
        </w:rPr>
        <w:t>Velásquez Rodríguez Case</w:t>
      </w:r>
      <w:r w:rsidRPr="00B80AAA">
        <w:rPr>
          <w:i/>
          <w:color w:val="000000" w:themeColor="text1"/>
        </w:rPr>
        <w:t>,</w:t>
      </w:r>
      <w:r w:rsidRPr="00B80AAA">
        <w:rPr>
          <w:color w:val="000000" w:themeColor="text1"/>
        </w:rPr>
        <w:t xml:space="preserve"> Inter-Am.Ct.H.R. (Ser. C) No. 4 (1988), Inter-American Court of Human Rights (IACrtHR), 29 July 1988</w:t>
      </w:r>
      <w:r w:rsidR="00F421B3" w:rsidRPr="00B80AAA">
        <w:rPr>
          <w:color w:val="000000" w:themeColor="text1"/>
        </w:rPr>
        <w:t>…………………………………………………</w:t>
      </w:r>
      <w:r w:rsidR="00181424" w:rsidRPr="00B80AAA">
        <w:rPr>
          <w:color w:val="000000" w:themeColor="text1"/>
        </w:rPr>
        <w:t>..</w:t>
      </w:r>
      <w:r w:rsidR="005501CE" w:rsidRPr="00B80AAA">
        <w:rPr>
          <w:color w:val="000000" w:themeColor="text1"/>
        </w:rPr>
        <w:t>p.</w:t>
      </w:r>
      <w:r w:rsidR="00A06536" w:rsidRPr="00B80AAA">
        <w:rPr>
          <w:color w:val="000000" w:themeColor="text1"/>
        </w:rPr>
        <w:t>18</w:t>
      </w:r>
      <w:r w:rsidR="00F421B3" w:rsidRPr="00B80AAA">
        <w:rPr>
          <w:color w:val="000000" w:themeColor="text1"/>
        </w:rPr>
        <w:t>, 19</w:t>
      </w:r>
    </w:p>
    <w:p w:rsidR="002838B7" w:rsidRPr="00B80AAA" w:rsidRDefault="002838B7" w:rsidP="00B80AAA">
      <w:pPr>
        <w:pStyle w:val="NormalWeb"/>
        <w:spacing w:before="0" w:beforeAutospacing="0" w:after="0" w:afterAutospacing="0" w:line="480" w:lineRule="auto"/>
        <w:jc w:val="both"/>
        <w:rPr>
          <w:color w:val="000000" w:themeColor="text1"/>
        </w:rPr>
      </w:pPr>
      <w:r w:rsidRPr="00B80AAA">
        <w:rPr>
          <w:i/>
          <w:color w:val="000000" w:themeColor="text1"/>
        </w:rPr>
        <w:lastRenderedPageBreak/>
        <w:t>Xákmok Kásek Indigenous Community v. Paraguay</w:t>
      </w:r>
      <w:r w:rsidRPr="00B80AAA">
        <w:rPr>
          <w:color w:val="000000" w:themeColor="text1"/>
        </w:rPr>
        <w:t>, Merits, Reparations, and Costs, Judgment, Inter-Am. Ct. H.R. (ser. C) No. 214</w:t>
      </w:r>
      <w:r w:rsidR="00A94D14" w:rsidRPr="00B80AAA">
        <w:rPr>
          <w:color w:val="000000" w:themeColor="text1"/>
        </w:rPr>
        <w:t>………………………………………………………</w:t>
      </w:r>
      <w:r w:rsidR="008979E2" w:rsidRPr="00B80AAA">
        <w:rPr>
          <w:color w:val="000000" w:themeColor="text1"/>
        </w:rPr>
        <w:t>…..</w:t>
      </w:r>
      <w:r w:rsidR="00A94D14" w:rsidRPr="00B80AAA">
        <w:rPr>
          <w:color w:val="000000" w:themeColor="text1"/>
        </w:rPr>
        <w:t xml:space="preserve">p. </w:t>
      </w:r>
      <w:r w:rsidR="00357C2F" w:rsidRPr="00B80AAA">
        <w:rPr>
          <w:color w:val="000000" w:themeColor="text1"/>
        </w:rPr>
        <w:t>31</w:t>
      </w:r>
    </w:p>
    <w:p w:rsidR="002838B7" w:rsidRPr="00B80AAA" w:rsidRDefault="002838B7" w:rsidP="00B80AAA">
      <w:pPr>
        <w:pStyle w:val="NormalWeb"/>
        <w:spacing w:before="0" w:beforeAutospacing="0" w:after="0" w:afterAutospacing="0" w:line="480" w:lineRule="auto"/>
        <w:jc w:val="both"/>
        <w:rPr>
          <w:b/>
          <w:color w:val="000000" w:themeColor="text1"/>
        </w:rPr>
      </w:pPr>
      <w:r w:rsidRPr="00B80AAA">
        <w:rPr>
          <w:b/>
          <w:color w:val="000000" w:themeColor="text1"/>
        </w:rPr>
        <w:t>Inter-American Commission on Human Rights</w:t>
      </w:r>
    </w:p>
    <w:p w:rsidR="003A2900" w:rsidRPr="00B80AAA" w:rsidRDefault="008979E2" w:rsidP="00B80AAA">
      <w:pPr>
        <w:shd w:val="clear" w:color="auto" w:fill="FFFFFF"/>
        <w:spacing w:line="480" w:lineRule="auto"/>
        <w:jc w:val="both"/>
        <w:rPr>
          <w:color w:val="000000" w:themeColor="text1"/>
        </w:rPr>
      </w:pPr>
      <w:r w:rsidRPr="00B80AAA">
        <w:rPr>
          <w:i/>
          <w:color w:val="000000" w:themeColor="text1"/>
        </w:rPr>
        <w:t xml:space="preserve">US Interdiction </w:t>
      </w:r>
      <w:r w:rsidR="002838B7" w:rsidRPr="00B80AAA">
        <w:rPr>
          <w:i/>
          <w:color w:val="000000" w:themeColor="text1"/>
        </w:rPr>
        <w:t>of Haitians on the High Seas</w:t>
      </w:r>
      <w:r w:rsidR="002838B7" w:rsidRPr="00B80AAA">
        <w:rPr>
          <w:color w:val="000000" w:themeColor="text1"/>
        </w:rPr>
        <w:t>, (United States) March 13, 1997, Report No. 51/96, Case No. 10.675</w:t>
      </w:r>
      <w:r w:rsidR="001D5C8B" w:rsidRPr="00B80AAA">
        <w:rPr>
          <w:color w:val="000000" w:themeColor="text1"/>
        </w:rPr>
        <w:t>………………………………………………………</w:t>
      </w:r>
      <w:r w:rsidR="00886139" w:rsidRPr="00B80AAA">
        <w:rPr>
          <w:color w:val="000000" w:themeColor="text1"/>
        </w:rPr>
        <w:t>.</w:t>
      </w:r>
      <w:r w:rsidR="0031272A" w:rsidRPr="00B80AAA">
        <w:rPr>
          <w:color w:val="000000" w:themeColor="text1"/>
        </w:rPr>
        <w:t>…</w:t>
      </w:r>
      <w:r w:rsidR="001D5C8B" w:rsidRPr="00B80AAA">
        <w:rPr>
          <w:color w:val="000000" w:themeColor="text1"/>
        </w:rPr>
        <w:t>.</w:t>
      </w:r>
      <w:r w:rsidR="00E73B77" w:rsidRPr="00B80AAA">
        <w:rPr>
          <w:color w:val="000000" w:themeColor="text1"/>
        </w:rPr>
        <w:t>.</w:t>
      </w:r>
      <w:r w:rsidR="00A94D14" w:rsidRPr="00B80AAA">
        <w:rPr>
          <w:color w:val="000000" w:themeColor="text1"/>
        </w:rPr>
        <w:t>p.</w:t>
      </w:r>
      <w:r w:rsidR="00E73B77" w:rsidRPr="00B80AAA">
        <w:rPr>
          <w:color w:val="000000" w:themeColor="text1"/>
        </w:rPr>
        <w:t xml:space="preserve">17, </w:t>
      </w:r>
      <w:r w:rsidR="001D5C8B" w:rsidRPr="00B80AAA">
        <w:rPr>
          <w:color w:val="000000" w:themeColor="text1"/>
        </w:rPr>
        <w:t>18</w:t>
      </w:r>
      <w:r w:rsidR="00886139" w:rsidRPr="00B80AAA">
        <w:rPr>
          <w:color w:val="000000" w:themeColor="text1"/>
        </w:rPr>
        <w:t>,</w:t>
      </w:r>
      <w:r w:rsidR="001D5C8B" w:rsidRPr="00B80AAA">
        <w:rPr>
          <w:color w:val="000000" w:themeColor="text1"/>
        </w:rPr>
        <w:t>22,</w:t>
      </w:r>
      <w:r w:rsidR="00E73B77" w:rsidRPr="00B80AAA">
        <w:rPr>
          <w:color w:val="000000" w:themeColor="text1"/>
        </w:rPr>
        <w:t xml:space="preserve"> 23</w:t>
      </w:r>
      <w:r w:rsidR="0031272A" w:rsidRPr="00B80AAA">
        <w:rPr>
          <w:color w:val="000000" w:themeColor="text1"/>
        </w:rPr>
        <w:t xml:space="preserve">, </w:t>
      </w:r>
      <w:r w:rsidR="001D5C8B" w:rsidRPr="00B80AAA">
        <w:rPr>
          <w:color w:val="000000" w:themeColor="text1"/>
        </w:rPr>
        <w:t>24</w:t>
      </w:r>
      <w:r w:rsidR="00886139" w:rsidRPr="00B80AAA">
        <w:rPr>
          <w:color w:val="000000" w:themeColor="text1"/>
        </w:rPr>
        <w:t xml:space="preserve">, </w:t>
      </w:r>
      <w:r w:rsidR="001D5C8B" w:rsidRPr="00B80AAA">
        <w:rPr>
          <w:color w:val="000000" w:themeColor="text1"/>
        </w:rPr>
        <w:t>30</w:t>
      </w:r>
    </w:p>
    <w:p w:rsidR="003A2900" w:rsidRPr="00B80AAA" w:rsidRDefault="003A2900" w:rsidP="00B80AAA">
      <w:pPr>
        <w:shd w:val="clear" w:color="auto" w:fill="FFFFFF"/>
        <w:spacing w:line="480" w:lineRule="auto"/>
        <w:jc w:val="both"/>
        <w:rPr>
          <w:color w:val="000000" w:themeColor="text1"/>
        </w:rPr>
      </w:pPr>
      <w:r w:rsidRPr="00B80AAA">
        <w:rPr>
          <w:rStyle w:val="Strong"/>
          <w:rFonts w:eastAsiaTheme="majorEastAsia"/>
          <w:b w:val="0"/>
          <w:i/>
          <w:color w:val="000000" w:themeColor="text1"/>
          <w:shd w:val="clear" w:color="auto" w:fill="FFFFFF"/>
        </w:rPr>
        <w:t>Victor Saldaño v. Argentina</w:t>
      </w:r>
      <w:r w:rsidRPr="00B80AAA">
        <w:rPr>
          <w:rStyle w:val="Strong"/>
          <w:rFonts w:eastAsiaTheme="majorEastAsia"/>
          <w:b w:val="0"/>
          <w:color w:val="000000" w:themeColor="text1"/>
          <w:shd w:val="clear" w:color="auto" w:fill="FFFFFF"/>
        </w:rPr>
        <w:t>, Petition, Report No. 38/99, Inter-Am. C.H.R., OEA/Ser.L/V/II.95 Doc. 7 rev. at 289 (1998)………………………………………………………</w:t>
      </w:r>
      <w:r w:rsidR="009A197D" w:rsidRPr="00B80AAA">
        <w:rPr>
          <w:rStyle w:val="Strong"/>
          <w:rFonts w:eastAsiaTheme="majorEastAsia"/>
          <w:b w:val="0"/>
          <w:color w:val="000000" w:themeColor="text1"/>
          <w:shd w:val="clear" w:color="auto" w:fill="FFFFFF"/>
        </w:rPr>
        <w:t>……</w:t>
      </w:r>
      <w:r w:rsidR="001D5C8B" w:rsidRPr="00B80AAA">
        <w:rPr>
          <w:rStyle w:val="Strong"/>
          <w:rFonts w:eastAsiaTheme="majorEastAsia"/>
          <w:b w:val="0"/>
          <w:color w:val="000000" w:themeColor="text1"/>
          <w:shd w:val="clear" w:color="auto" w:fill="FFFFFF"/>
        </w:rPr>
        <w:t>….</w:t>
      </w:r>
      <w:r w:rsidR="009A197D" w:rsidRPr="00B80AAA">
        <w:rPr>
          <w:rStyle w:val="Strong"/>
          <w:rFonts w:eastAsiaTheme="majorEastAsia"/>
          <w:b w:val="0"/>
          <w:color w:val="000000" w:themeColor="text1"/>
          <w:shd w:val="clear" w:color="auto" w:fill="FFFFFF"/>
        </w:rPr>
        <w:t>…</w:t>
      </w:r>
      <w:r w:rsidR="00E73B77" w:rsidRPr="00B80AAA">
        <w:rPr>
          <w:rStyle w:val="Strong"/>
          <w:rFonts w:eastAsiaTheme="majorEastAsia"/>
          <w:b w:val="0"/>
          <w:color w:val="000000" w:themeColor="text1"/>
          <w:shd w:val="clear" w:color="auto" w:fill="FFFFFF"/>
        </w:rPr>
        <w:t>p. 17</w:t>
      </w:r>
      <w:r w:rsidR="001D5C8B" w:rsidRPr="00B80AAA">
        <w:rPr>
          <w:rStyle w:val="Strong"/>
          <w:rFonts w:eastAsiaTheme="majorEastAsia"/>
          <w:b w:val="0"/>
          <w:color w:val="000000" w:themeColor="text1"/>
          <w:shd w:val="clear" w:color="auto" w:fill="FFFFFF"/>
        </w:rPr>
        <w:t>, 22</w:t>
      </w:r>
    </w:p>
    <w:p w:rsidR="003F5448" w:rsidRPr="00B80AAA" w:rsidRDefault="002838B7" w:rsidP="00B80AAA">
      <w:pPr>
        <w:shd w:val="clear" w:color="auto" w:fill="FFFFFF"/>
        <w:spacing w:line="480" w:lineRule="auto"/>
        <w:jc w:val="both"/>
        <w:rPr>
          <w:color w:val="000000" w:themeColor="text1"/>
        </w:rPr>
      </w:pPr>
      <w:r w:rsidRPr="00B80AAA">
        <w:rPr>
          <w:b/>
          <w:color w:val="000000" w:themeColor="text1"/>
        </w:rPr>
        <w:t>International Court of Justice</w:t>
      </w:r>
    </w:p>
    <w:p w:rsidR="003A2900" w:rsidRPr="00B80AAA" w:rsidRDefault="00181424" w:rsidP="00B80AAA">
      <w:pPr>
        <w:shd w:val="clear" w:color="auto" w:fill="FFFFFF"/>
        <w:spacing w:line="480" w:lineRule="auto"/>
        <w:jc w:val="both"/>
        <w:rPr>
          <w:color w:val="000000" w:themeColor="text1"/>
        </w:rPr>
      </w:pPr>
      <w:r w:rsidRPr="00B80AAA">
        <w:rPr>
          <w:i/>
          <w:color w:val="000000" w:themeColor="text1"/>
        </w:rPr>
        <w:t>Gabc</w:t>
      </w:r>
      <w:r w:rsidR="002838B7" w:rsidRPr="00B80AAA">
        <w:rPr>
          <w:i/>
          <w:color w:val="000000" w:themeColor="text1"/>
        </w:rPr>
        <w:t>i</w:t>
      </w:r>
      <w:r w:rsidRPr="00B80AAA">
        <w:rPr>
          <w:i/>
          <w:color w:val="000000" w:themeColor="text1"/>
        </w:rPr>
        <w:t>kovo-Nagymaros Project (Hungary/</w:t>
      </w:r>
      <w:r w:rsidR="002838B7" w:rsidRPr="00B80AAA">
        <w:rPr>
          <w:i/>
          <w:color w:val="000000" w:themeColor="text1"/>
        </w:rPr>
        <w:t>Slovakia),</w:t>
      </w:r>
      <w:r w:rsidR="002838B7" w:rsidRPr="00B80AAA">
        <w:rPr>
          <w:color w:val="000000" w:themeColor="text1"/>
        </w:rPr>
        <w:t xml:space="preserve"> Judgm</w:t>
      </w:r>
      <w:r w:rsidR="00826C8A" w:rsidRPr="00B80AAA">
        <w:rPr>
          <w:color w:val="000000" w:themeColor="text1"/>
        </w:rPr>
        <w:t>ent</w:t>
      </w:r>
      <w:r w:rsidR="006E5D15" w:rsidRPr="00B80AAA">
        <w:rPr>
          <w:color w:val="000000" w:themeColor="text1"/>
        </w:rPr>
        <w:t>, I. C. J. Reports 199……p. 35, 36</w:t>
      </w:r>
    </w:p>
    <w:p w:rsidR="002838B7" w:rsidRPr="00B80AAA" w:rsidRDefault="002838B7" w:rsidP="00B80AAA">
      <w:pPr>
        <w:pStyle w:val="NormalWeb"/>
        <w:spacing w:before="0" w:beforeAutospacing="0" w:after="0" w:afterAutospacing="0" w:line="480" w:lineRule="auto"/>
        <w:jc w:val="both"/>
        <w:rPr>
          <w:b/>
          <w:color w:val="000000" w:themeColor="text1"/>
        </w:rPr>
      </w:pPr>
      <w:r w:rsidRPr="00B80AAA">
        <w:rPr>
          <w:b/>
          <w:color w:val="000000" w:themeColor="text1"/>
        </w:rPr>
        <w:t>African Commission on Human Rights</w:t>
      </w:r>
    </w:p>
    <w:p w:rsidR="003F5448" w:rsidRPr="00B80AAA" w:rsidRDefault="002838B7" w:rsidP="00B80AAA">
      <w:pPr>
        <w:pStyle w:val="FootnoteText"/>
        <w:spacing w:line="480" w:lineRule="auto"/>
        <w:jc w:val="both"/>
        <w:rPr>
          <w:color w:val="000000" w:themeColor="text1"/>
          <w:sz w:val="24"/>
          <w:szCs w:val="24"/>
        </w:rPr>
      </w:pPr>
      <w:r w:rsidRPr="00DB0AC4">
        <w:rPr>
          <w:i/>
          <w:color w:val="000000" w:themeColor="text1"/>
          <w:sz w:val="24"/>
          <w:szCs w:val="24"/>
          <w:lang w:val="pt-BR"/>
        </w:rPr>
        <w:t>SERAC v. Nigeria</w:t>
      </w:r>
      <w:r w:rsidR="006E5D15" w:rsidRPr="00DB0AC4">
        <w:rPr>
          <w:color w:val="000000" w:themeColor="text1"/>
          <w:sz w:val="24"/>
          <w:szCs w:val="24"/>
          <w:lang w:val="pt-BR"/>
        </w:rPr>
        <w:t xml:space="preserve">, </w:t>
      </w:r>
      <w:r w:rsidRPr="00DB0AC4">
        <w:rPr>
          <w:color w:val="000000" w:themeColor="text1"/>
          <w:sz w:val="24"/>
          <w:szCs w:val="24"/>
          <w:lang w:val="pt-BR"/>
        </w:rPr>
        <w:t xml:space="preserve">Case No. ACHPR/COMM/A044/1, Afr. </w:t>
      </w:r>
      <w:r w:rsidRPr="00B80AAA">
        <w:rPr>
          <w:color w:val="000000" w:themeColor="text1"/>
          <w:sz w:val="24"/>
          <w:szCs w:val="24"/>
        </w:rPr>
        <w:t>Comm’n Human &amp; Peoples’ Rights (May 27, 200</w:t>
      </w:r>
      <w:r w:rsidR="00FC2795" w:rsidRPr="00B80AAA">
        <w:rPr>
          <w:color w:val="000000" w:themeColor="text1"/>
          <w:sz w:val="24"/>
          <w:szCs w:val="24"/>
        </w:rPr>
        <w:t>2).…………………………………………………………………………</w:t>
      </w:r>
      <w:r w:rsidR="006E5D15" w:rsidRPr="00B80AAA">
        <w:rPr>
          <w:color w:val="000000" w:themeColor="text1"/>
          <w:sz w:val="24"/>
          <w:szCs w:val="24"/>
        </w:rPr>
        <w:t>……..p. 22</w:t>
      </w:r>
    </w:p>
    <w:p w:rsidR="00B81365" w:rsidRPr="00B80AAA" w:rsidRDefault="00B81365" w:rsidP="00B80AAA">
      <w:pPr>
        <w:pStyle w:val="Heading1"/>
        <w:numPr>
          <w:ilvl w:val="0"/>
          <w:numId w:val="1"/>
        </w:numPr>
        <w:spacing w:line="480" w:lineRule="auto"/>
        <w:jc w:val="both"/>
        <w:rPr>
          <w:rFonts w:ascii="Times New Roman" w:hAnsi="Times New Roman" w:cs="Times New Roman"/>
          <w:color w:val="000000" w:themeColor="text1"/>
          <w:sz w:val="24"/>
          <w:szCs w:val="24"/>
        </w:rPr>
      </w:pPr>
      <w:bookmarkStart w:id="16" w:name="_Toc440048737"/>
      <w:bookmarkStart w:id="17" w:name="_Toc441798771"/>
      <w:bookmarkStart w:id="18" w:name="_Toc446831625"/>
      <w:bookmarkStart w:id="19" w:name="_Toc440048738"/>
      <w:r w:rsidRPr="00B80AAA">
        <w:rPr>
          <w:rFonts w:ascii="Times New Roman" w:hAnsi="Times New Roman" w:cs="Times New Roman"/>
          <w:color w:val="000000" w:themeColor="text1"/>
          <w:sz w:val="24"/>
          <w:szCs w:val="24"/>
        </w:rPr>
        <w:t>STATEMENT OF FACTS</w:t>
      </w:r>
      <w:bookmarkEnd w:id="16"/>
      <w:bookmarkEnd w:id="17"/>
      <w:bookmarkEnd w:id="18"/>
    </w:p>
    <w:p w:rsidR="00B81365" w:rsidRPr="00B80AAA" w:rsidRDefault="00B81365" w:rsidP="00B80AAA">
      <w:pPr>
        <w:tabs>
          <w:tab w:val="center" w:pos="4680"/>
        </w:tabs>
        <w:spacing w:line="480" w:lineRule="auto"/>
        <w:jc w:val="both"/>
        <w:rPr>
          <w:b/>
          <w:i/>
          <w:color w:val="000000" w:themeColor="text1"/>
        </w:rPr>
      </w:pPr>
      <w:r w:rsidRPr="00B80AAA">
        <w:rPr>
          <w:b/>
          <w:i/>
          <w:color w:val="000000" w:themeColor="text1"/>
        </w:rPr>
        <w:t>History of Santa Clara</w:t>
      </w:r>
      <w:r w:rsidR="00AB1CCF" w:rsidRPr="00B80AAA">
        <w:rPr>
          <w:b/>
          <w:i/>
          <w:color w:val="000000" w:themeColor="text1"/>
        </w:rPr>
        <w:tab/>
      </w:r>
    </w:p>
    <w:p w:rsidR="000D559C" w:rsidRPr="00B80AAA" w:rsidRDefault="00B81365" w:rsidP="00B80AAA">
      <w:pPr>
        <w:tabs>
          <w:tab w:val="left" w:pos="3165"/>
        </w:tabs>
        <w:spacing w:line="480" w:lineRule="auto"/>
        <w:jc w:val="both"/>
        <w:rPr>
          <w:color w:val="000000" w:themeColor="text1"/>
        </w:rPr>
      </w:pPr>
      <w:r w:rsidRPr="00B80AAA">
        <w:rPr>
          <w:color w:val="000000" w:themeColor="text1"/>
        </w:rPr>
        <w:t>Santa Clara is an independent State in the Americas, gaining its independence from Britain in 1828 and having a GDP and HDI comparable to that of Germany.</w:t>
      </w:r>
      <w:r w:rsidR="00DB179F" w:rsidRPr="00B80AAA">
        <w:rPr>
          <w:rStyle w:val="FootnoteReference"/>
          <w:color w:val="000000" w:themeColor="text1"/>
        </w:rPr>
        <w:footnoteReference w:id="1"/>
      </w:r>
      <w:r w:rsidR="00DB179F" w:rsidRPr="00B80AAA">
        <w:rPr>
          <w:color w:val="000000" w:themeColor="text1"/>
        </w:rPr>
        <w:t xml:space="preserve"> </w:t>
      </w:r>
      <w:r w:rsidRPr="00B80AAA">
        <w:rPr>
          <w:color w:val="000000" w:themeColor="text1"/>
        </w:rPr>
        <w:t xml:space="preserve">Santa Clara, a member of the OAS, has acceded to the OAS Charter, deposited its ratification instrument for the </w:t>
      </w:r>
      <w:r w:rsidRPr="00B80AAA">
        <w:rPr>
          <w:i/>
          <w:color w:val="000000" w:themeColor="text1"/>
        </w:rPr>
        <w:t>American Convention on Human Rights</w:t>
      </w:r>
      <w:r w:rsidRPr="00B80AAA">
        <w:rPr>
          <w:color w:val="000000" w:themeColor="text1"/>
        </w:rPr>
        <w:t xml:space="preserve"> (The </w:t>
      </w:r>
      <w:r w:rsidRPr="00B80AAA">
        <w:rPr>
          <w:i/>
          <w:color w:val="000000" w:themeColor="text1"/>
        </w:rPr>
        <w:t>Convention</w:t>
      </w:r>
      <w:r w:rsidRPr="00B80AAA">
        <w:rPr>
          <w:color w:val="000000" w:themeColor="text1"/>
        </w:rPr>
        <w:t>) and has accepted the contentious jurisdiction of the supranational Inter-American Court of Human Rights (IACtHR).</w:t>
      </w:r>
      <w:r w:rsidR="00DB179F" w:rsidRPr="00B80AAA">
        <w:rPr>
          <w:rStyle w:val="FootnoteReference"/>
          <w:color w:val="000000" w:themeColor="text1"/>
        </w:rPr>
        <w:footnoteReference w:id="2"/>
      </w:r>
      <w:r w:rsidRPr="00B80AAA">
        <w:rPr>
          <w:color w:val="000000" w:themeColor="text1"/>
        </w:rPr>
        <w:t xml:space="preserve"> All protocols concerning </w:t>
      </w:r>
      <w:r w:rsidRPr="00B80AAA">
        <w:rPr>
          <w:color w:val="000000" w:themeColor="text1"/>
        </w:rPr>
        <w:lastRenderedPageBreak/>
        <w:t xml:space="preserve">the Inter-American System of Human Rights (IASHR) have been ratified and it has signed the </w:t>
      </w:r>
      <w:r w:rsidRPr="00B80AAA">
        <w:rPr>
          <w:i/>
          <w:color w:val="000000" w:themeColor="text1"/>
        </w:rPr>
        <w:t>UN Declaration on the Rights of Indigenous Peoples</w:t>
      </w:r>
      <w:r w:rsidRPr="00B80AAA">
        <w:rPr>
          <w:color w:val="000000" w:themeColor="text1"/>
        </w:rPr>
        <w:t xml:space="preserve"> among most other universal human rights treaties, and has ratified </w:t>
      </w:r>
      <w:r w:rsidRPr="00B80AAA">
        <w:rPr>
          <w:i/>
          <w:color w:val="000000" w:themeColor="text1"/>
        </w:rPr>
        <w:t>Convention 169</w:t>
      </w:r>
      <w:r w:rsidRPr="00B80AAA">
        <w:rPr>
          <w:color w:val="000000" w:themeColor="text1"/>
        </w:rPr>
        <w:t xml:space="preserve"> of the International Labour Organisation.</w:t>
      </w:r>
      <w:r w:rsidRPr="00B80AAA">
        <w:rPr>
          <w:rStyle w:val="FootnoteReference"/>
          <w:color w:val="000000" w:themeColor="text1"/>
        </w:rPr>
        <w:footnoteReference w:id="3"/>
      </w:r>
      <w:r w:rsidRPr="00B80AAA">
        <w:rPr>
          <w:color w:val="000000" w:themeColor="text1"/>
        </w:rPr>
        <w:t xml:space="preserve"> </w:t>
      </w:r>
    </w:p>
    <w:p w:rsidR="00F446F2" w:rsidRPr="00B80AAA" w:rsidRDefault="00B81365" w:rsidP="00B80AAA">
      <w:pPr>
        <w:tabs>
          <w:tab w:val="left" w:pos="3165"/>
        </w:tabs>
        <w:spacing w:line="480" w:lineRule="auto"/>
        <w:jc w:val="both"/>
        <w:rPr>
          <w:color w:val="000000" w:themeColor="text1"/>
        </w:rPr>
      </w:pPr>
      <w:r w:rsidRPr="00B80AAA">
        <w:rPr>
          <w:color w:val="000000" w:themeColor="text1"/>
        </w:rPr>
        <w:t>Santa Clara has a population of 95 million, spread across a surface area of 9 million square kilometres, with 62% of its population identified as White, 23% as Hispanic, 7% as Afro-descendant, 3% as Asian immigrants and 5% as native people.</w:t>
      </w:r>
      <w:r w:rsidRPr="00B80AAA">
        <w:rPr>
          <w:rStyle w:val="FootnoteReference"/>
          <w:color w:val="000000" w:themeColor="text1"/>
        </w:rPr>
        <w:footnoteReference w:id="4"/>
      </w:r>
      <w:r w:rsidRPr="00B80AAA">
        <w:rPr>
          <w:color w:val="000000" w:themeColor="text1"/>
        </w:rPr>
        <w:t xml:space="preserve"> The Pichicha people, an indigenous group, were estimated to have permanently settled on ancestral territory between the headwaters and middle valley of the Doce River, with only 150,000 members.</w:t>
      </w:r>
      <w:r w:rsidRPr="00B80AAA">
        <w:rPr>
          <w:rStyle w:val="FootnoteReference"/>
          <w:color w:val="000000" w:themeColor="text1"/>
        </w:rPr>
        <w:footnoteReference w:id="5"/>
      </w:r>
      <w:r w:rsidRPr="00B80AAA">
        <w:rPr>
          <w:color w:val="000000" w:themeColor="text1"/>
        </w:rPr>
        <w:t xml:space="preserve"> Post-independence, in the 1990’s, Santa Clara expanded its extractive industries into other countries in the Americas, Africa and Asia. Eventually 80% of mining investments and 70% of all stocks in the mining industry in Latin America and the Caribbean were traded on the Toronga </w:t>
      </w:r>
      <w:r w:rsidR="00BE7256" w:rsidRPr="00B80AAA">
        <w:rPr>
          <w:color w:val="000000" w:themeColor="text1"/>
        </w:rPr>
        <w:t xml:space="preserve">Stock </w:t>
      </w:r>
      <w:r w:rsidRPr="00B80AAA">
        <w:rPr>
          <w:color w:val="000000" w:themeColor="text1"/>
        </w:rPr>
        <w:t>Exchange in the capital of Santa Clara.</w:t>
      </w:r>
      <w:r w:rsidRPr="00B80AAA">
        <w:rPr>
          <w:rStyle w:val="FootnoteReference"/>
          <w:color w:val="000000" w:themeColor="text1"/>
        </w:rPr>
        <w:footnoteReference w:id="6"/>
      </w:r>
      <w:r w:rsidRPr="00B80AAA">
        <w:rPr>
          <w:color w:val="000000" w:themeColor="text1"/>
        </w:rPr>
        <w:t xml:space="preserve">  In pursuit of expanding its mining companies in other countries, the government of Santa Clara created a Public </w:t>
      </w:r>
      <w:r w:rsidR="000926F1" w:rsidRPr="00B80AAA">
        <w:rPr>
          <w:color w:val="000000" w:themeColor="text1"/>
        </w:rPr>
        <w:t xml:space="preserve">Foreign </w:t>
      </w:r>
      <w:r w:rsidRPr="00B80AAA">
        <w:rPr>
          <w:color w:val="000000" w:themeColor="text1"/>
        </w:rPr>
        <w:t>Investment Fund in 1990, for the purpose of making subsidized loans primarily to mining companies to expand in foreign countries.</w:t>
      </w:r>
      <w:r w:rsidRPr="00B80AAA">
        <w:rPr>
          <w:rStyle w:val="FootnoteReference"/>
          <w:color w:val="000000" w:themeColor="text1"/>
        </w:rPr>
        <w:footnoteReference w:id="7"/>
      </w:r>
      <w:r w:rsidRPr="00B80AAA">
        <w:rPr>
          <w:color w:val="000000" w:themeColor="text1"/>
        </w:rPr>
        <w:t xml:space="preserve"> The government of Santa Clara allocated US $40 billion to the fund, which primarily benefitted the principal mining companies Miningcorp S.A. and Silverfield S.A. who were able to access US $36 billion.</w:t>
      </w:r>
      <w:r w:rsidRPr="00B80AAA">
        <w:rPr>
          <w:rStyle w:val="FootnoteReference"/>
          <w:color w:val="000000" w:themeColor="text1"/>
        </w:rPr>
        <w:footnoteReference w:id="8"/>
      </w:r>
    </w:p>
    <w:p w:rsidR="006066AF" w:rsidRPr="00B80AAA" w:rsidRDefault="006066AF" w:rsidP="00B80AAA">
      <w:pPr>
        <w:tabs>
          <w:tab w:val="left" w:pos="3165"/>
        </w:tabs>
        <w:spacing w:line="480" w:lineRule="auto"/>
        <w:jc w:val="both"/>
        <w:rPr>
          <w:color w:val="000000" w:themeColor="text1"/>
        </w:rPr>
      </w:pPr>
    </w:p>
    <w:p w:rsidR="006066AF" w:rsidRPr="00B80AAA" w:rsidRDefault="006066AF" w:rsidP="00B80AAA">
      <w:pPr>
        <w:tabs>
          <w:tab w:val="left" w:pos="3165"/>
        </w:tabs>
        <w:spacing w:line="480" w:lineRule="auto"/>
        <w:jc w:val="both"/>
        <w:rPr>
          <w:color w:val="000000" w:themeColor="text1"/>
        </w:rPr>
      </w:pPr>
    </w:p>
    <w:p w:rsidR="00C8729B" w:rsidRPr="00B80AAA" w:rsidRDefault="00B81365" w:rsidP="00B80AAA">
      <w:pPr>
        <w:tabs>
          <w:tab w:val="left" w:pos="3165"/>
        </w:tabs>
        <w:spacing w:line="480" w:lineRule="auto"/>
        <w:jc w:val="both"/>
        <w:rPr>
          <w:color w:val="000000" w:themeColor="text1"/>
        </w:rPr>
      </w:pPr>
      <w:r w:rsidRPr="00B80AAA">
        <w:rPr>
          <w:b/>
          <w:i/>
          <w:color w:val="000000" w:themeColor="text1"/>
        </w:rPr>
        <w:lastRenderedPageBreak/>
        <w:t xml:space="preserve">Relations between Santa Clara and the Republic of Madruga </w:t>
      </w:r>
    </w:p>
    <w:p w:rsidR="00B81365" w:rsidRPr="00B80AAA" w:rsidRDefault="00B81365" w:rsidP="00B80AAA">
      <w:pPr>
        <w:tabs>
          <w:tab w:val="left" w:pos="3165"/>
        </w:tabs>
        <w:spacing w:line="480" w:lineRule="auto"/>
        <w:jc w:val="both"/>
        <w:rPr>
          <w:color w:val="000000" w:themeColor="text1"/>
        </w:rPr>
      </w:pPr>
      <w:r w:rsidRPr="00B80AAA">
        <w:rPr>
          <w:color w:val="000000" w:themeColor="text1"/>
        </w:rPr>
        <w:t>South of Santa Clara is The Republic of Madruga who gained its independence in September 1837</w:t>
      </w:r>
      <w:r w:rsidR="00C8729B" w:rsidRPr="00B80AAA">
        <w:rPr>
          <w:color w:val="000000" w:themeColor="text1"/>
        </w:rPr>
        <w:t>,</w:t>
      </w:r>
      <w:r w:rsidRPr="00B80AAA">
        <w:rPr>
          <w:color w:val="000000" w:themeColor="text1"/>
        </w:rPr>
        <w:t xml:space="preserve"> having a GDP and HDI comparable to that of a developing Latin American country, and a population of 23 million people.</w:t>
      </w:r>
      <w:r w:rsidR="00BE7256" w:rsidRPr="00B80AAA">
        <w:rPr>
          <w:color w:val="000000" w:themeColor="text1"/>
          <w:vertAlign w:val="superscript"/>
        </w:rPr>
        <w:footnoteReference w:id="9"/>
      </w:r>
      <w:r w:rsidRPr="00B80AAA">
        <w:rPr>
          <w:color w:val="000000" w:themeColor="text1"/>
        </w:rPr>
        <w:t xml:space="preserve"> The Orífuna people, descendants of enslaved Africans and native people, is an indigenous group who have permanently settled in the high valley and estuary of the Doce River.</w:t>
      </w:r>
      <w:r w:rsidRPr="00B80AAA">
        <w:rPr>
          <w:rStyle w:val="FootnoteReference"/>
          <w:color w:val="000000" w:themeColor="text1"/>
        </w:rPr>
        <w:footnoteReference w:id="10"/>
      </w:r>
      <w:r w:rsidRPr="00B80AAA">
        <w:rPr>
          <w:color w:val="000000" w:themeColor="text1"/>
        </w:rPr>
        <w:t xml:space="preserve"> Like Santa Clara, the Republic of Madruga has signed and ratified all the human rights instruments of the Inter-American Human Rights System and recognized the contentious jurisdiction of the Inter-American Court in 1999.</w:t>
      </w:r>
      <w:r w:rsidRPr="00B80AAA">
        <w:rPr>
          <w:rStyle w:val="FootnoteReference"/>
          <w:color w:val="000000" w:themeColor="text1"/>
        </w:rPr>
        <w:footnoteReference w:id="11"/>
      </w:r>
      <w:r w:rsidRPr="00B80AAA">
        <w:rPr>
          <w:color w:val="000000" w:themeColor="text1"/>
        </w:rPr>
        <w:t xml:space="preserve"> The Court has issued a total of 45 judgments and 25 orders of provisional measures against Madruga. The most recent annual report from the Court has also shown that 90% of the reparations measures ordered in those judgments were met with total non-compliance, 10% having been complied with in part and 99% non-compliance pertaining to investigation and non-repetition.</w:t>
      </w:r>
      <w:r w:rsidRPr="00B80AAA">
        <w:rPr>
          <w:rStyle w:val="FootnoteReference"/>
          <w:color w:val="000000" w:themeColor="text1"/>
        </w:rPr>
        <w:footnoteReference w:id="12"/>
      </w:r>
      <w:r w:rsidRPr="00B80AAA">
        <w:rPr>
          <w:color w:val="000000" w:themeColor="text1"/>
        </w:rPr>
        <w:t xml:space="preserve"> </w:t>
      </w:r>
    </w:p>
    <w:p w:rsidR="00B81365" w:rsidRPr="00B80AAA" w:rsidRDefault="00B81365" w:rsidP="00B80AAA">
      <w:pPr>
        <w:spacing w:line="480" w:lineRule="auto"/>
        <w:jc w:val="both"/>
        <w:rPr>
          <w:color w:val="000000" w:themeColor="text1"/>
        </w:rPr>
      </w:pPr>
      <w:r w:rsidRPr="00B80AAA">
        <w:rPr>
          <w:color w:val="000000" w:themeColor="text1"/>
        </w:rPr>
        <w:t>In the 1920’s Madruga faced an insurrection which led to a revolutionary government emerging that sought to promote agrarian reform and nationalize the extractive industry through legislation in 1929.</w:t>
      </w:r>
      <w:r w:rsidRPr="00B80AAA">
        <w:rPr>
          <w:rStyle w:val="FootnoteReference"/>
          <w:color w:val="000000" w:themeColor="text1"/>
        </w:rPr>
        <w:footnoteReference w:id="13"/>
      </w:r>
      <w:r w:rsidRPr="00B80AAA">
        <w:rPr>
          <w:color w:val="000000" w:themeColor="text1"/>
        </w:rPr>
        <w:t xml:space="preserve"> This prompted the formation of militia groups in Northern Madruga which sought to continue the privatisation of extractive industries.</w:t>
      </w:r>
      <w:r w:rsidRPr="00B80AAA">
        <w:rPr>
          <w:rStyle w:val="FootnoteReference"/>
          <w:color w:val="000000" w:themeColor="text1"/>
        </w:rPr>
        <w:footnoteReference w:id="14"/>
      </w:r>
      <w:r w:rsidRPr="00B80AAA">
        <w:rPr>
          <w:color w:val="000000" w:themeColor="text1"/>
        </w:rPr>
        <w:t xml:space="preserve"> In 1932, the Parliament of Santa Clara enacted legislation which enabled Santa Clara to provide military weapons and training to the rebel militia groups in Northern Madruga which was further endorsed publicly by a government official, the Secretary of Defense.</w:t>
      </w:r>
      <w:r w:rsidRPr="00B80AAA">
        <w:rPr>
          <w:rStyle w:val="FootnoteReference"/>
          <w:color w:val="000000" w:themeColor="text1"/>
        </w:rPr>
        <w:footnoteReference w:id="15"/>
      </w:r>
      <w:r w:rsidRPr="00B80AAA">
        <w:rPr>
          <w:color w:val="000000" w:themeColor="text1"/>
        </w:rPr>
        <w:t xml:space="preserve">  Although it was repealed in 1940, mining companies from </w:t>
      </w:r>
      <w:r w:rsidRPr="00B80AAA">
        <w:rPr>
          <w:color w:val="000000" w:themeColor="text1"/>
        </w:rPr>
        <w:lastRenderedPageBreak/>
        <w:t>Santa Clara made periodic payments to militia groups that provided protection for their subsidiaries in Madruga.</w:t>
      </w:r>
      <w:r w:rsidRPr="00B80AAA">
        <w:rPr>
          <w:rStyle w:val="FootnoteReference"/>
          <w:color w:val="000000" w:themeColor="text1"/>
        </w:rPr>
        <w:footnoteReference w:id="16"/>
      </w:r>
      <w:r w:rsidRPr="00B80AAA">
        <w:rPr>
          <w:color w:val="000000" w:themeColor="text1"/>
        </w:rPr>
        <w:t xml:space="preserve"> In 1995 Madruga reformed its agrarian system and promoted private investment in the mining and energy sector which saw the signing of The North American Free Trade and Development Agreement (NAFTA).</w:t>
      </w:r>
      <w:r w:rsidRPr="00B80AAA">
        <w:rPr>
          <w:rStyle w:val="FootnoteReference"/>
          <w:color w:val="000000" w:themeColor="text1"/>
        </w:rPr>
        <w:footnoteReference w:id="17"/>
      </w:r>
    </w:p>
    <w:p w:rsidR="00B81365" w:rsidRPr="00B80AAA" w:rsidRDefault="00B81365" w:rsidP="00B80AAA">
      <w:pPr>
        <w:spacing w:line="480" w:lineRule="auto"/>
        <w:jc w:val="both"/>
        <w:rPr>
          <w:b/>
          <w:i/>
          <w:color w:val="000000" w:themeColor="text1"/>
        </w:rPr>
      </w:pPr>
      <w:r w:rsidRPr="00B80AAA">
        <w:rPr>
          <w:b/>
          <w:i/>
          <w:color w:val="000000" w:themeColor="text1"/>
        </w:rPr>
        <w:t>Murders of the Camana Osorio family, impunity in Madruga and judicial appeals in Santa Clara</w:t>
      </w:r>
    </w:p>
    <w:p w:rsidR="00B81365" w:rsidRPr="00B80AAA" w:rsidRDefault="00B81365" w:rsidP="00B80AAA">
      <w:pPr>
        <w:spacing w:line="480" w:lineRule="auto"/>
        <w:jc w:val="both"/>
        <w:rPr>
          <w:color w:val="000000" w:themeColor="text1"/>
        </w:rPr>
      </w:pPr>
      <w:r w:rsidRPr="00B80AAA">
        <w:rPr>
          <w:color w:val="000000" w:themeColor="text1"/>
        </w:rPr>
        <w:t xml:space="preserve">Edmundo Camana, the President of the Madrugan Confederation of Mineworkers, was murdered along with his </w:t>
      </w:r>
      <w:r w:rsidR="00B74A2E" w:rsidRPr="00B80AAA">
        <w:rPr>
          <w:color w:val="000000" w:themeColor="text1"/>
        </w:rPr>
        <w:t>Teresa Osorio and two of their</w:t>
      </w:r>
      <w:r w:rsidRPr="00B80AAA">
        <w:rPr>
          <w:color w:val="000000" w:themeColor="text1"/>
        </w:rPr>
        <w:t xml:space="preserve"> daughters in 1994, by two masked individuals in a restaurant in the city of San Blas.</w:t>
      </w:r>
      <w:r w:rsidRPr="00B80AAA">
        <w:rPr>
          <w:rStyle w:val="FootnoteReference"/>
          <w:color w:val="000000" w:themeColor="text1"/>
        </w:rPr>
        <w:footnoteReference w:id="18"/>
      </w:r>
      <w:r w:rsidRPr="00B80AAA">
        <w:rPr>
          <w:color w:val="000000" w:themeColor="text1"/>
        </w:rPr>
        <w:t xml:space="preserve"> His only surviving daughter Ms. Lucia Camana, went to live in Santa Clara as a refugee until 1998 when she returned to Madruga.</w:t>
      </w:r>
      <w:r w:rsidRPr="00B80AAA">
        <w:rPr>
          <w:rStyle w:val="FootnoteReference"/>
          <w:color w:val="000000" w:themeColor="text1"/>
        </w:rPr>
        <w:footnoteReference w:id="19"/>
      </w:r>
      <w:r w:rsidRPr="00B80AAA">
        <w:rPr>
          <w:color w:val="000000" w:themeColor="text1"/>
        </w:rPr>
        <w:t xml:space="preserve"> In June of 1999, the criminal proceedings concerning the murder were permanently shelved by the Judiciary of Madruga as they believed the sole perpetrators of the crime died in a confrontation between militia groups in 1995.</w:t>
      </w:r>
      <w:r w:rsidRPr="00B80AAA">
        <w:rPr>
          <w:rStyle w:val="FootnoteReference"/>
          <w:color w:val="000000" w:themeColor="text1"/>
        </w:rPr>
        <w:footnoteReference w:id="20"/>
      </w:r>
      <w:r w:rsidRPr="00B80AAA">
        <w:rPr>
          <w:color w:val="000000" w:themeColor="text1"/>
        </w:rPr>
        <w:t xml:space="preserve"> In 2001 documents </w:t>
      </w:r>
      <w:r w:rsidR="00EA253A" w:rsidRPr="00B80AAA">
        <w:rPr>
          <w:color w:val="000000" w:themeColor="text1"/>
        </w:rPr>
        <w:t>were leaked to the press which showed</w:t>
      </w:r>
      <w:r w:rsidRPr="00B80AAA">
        <w:rPr>
          <w:color w:val="000000" w:themeColor="text1"/>
        </w:rPr>
        <w:t xml:space="preserve"> Miningcorp S.A’s subsidiary in Madruga as having made bank deposits to companies owned by two leaders of the Los Olivos militia group which implicated the current President of the Upper Chamber, Eliot Klein, as he was the financial director of Miningcorp</w:t>
      </w:r>
      <w:r w:rsidR="00835E4D" w:rsidRPr="00B80AAA">
        <w:rPr>
          <w:color w:val="000000" w:themeColor="text1"/>
        </w:rPr>
        <w:t xml:space="preserve"> S.A</w:t>
      </w:r>
      <w:r w:rsidRPr="00B80AAA">
        <w:rPr>
          <w:color w:val="000000" w:themeColor="text1"/>
        </w:rPr>
        <w:t xml:space="preserve"> when the bank deposits were made.</w:t>
      </w:r>
      <w:r w:rsidRPr="00B80AAA">
        <w:rPr>
          <w:rStyle w:val="FootnoteReference"/>
          <w:color w:val="000000" w:themeColor="text1"/>
        </w:rPr>
        <w:footnoteReference w:id="21"/>
      </w:r>
      <w:r w:rsidRPr="00B80AAA">
        <w:rPr>
          <w:color w:val="000000" w:themeColor="text1"/>
        </w:rPr>
        <w:t xml:space="preserve"> Mr Klein subsequently resigned from his position as President of the Upper Chamber in </w:t>
      </w:r>
      <w:r w:rsidRPr="00B80AAA">
        <w:rPr>
          <w:color w:val="000000" w:themeColor="text1"/>
        </w:rPr>
        <w:lastRenderedPageBreak/>
        <w:t>Santa Clara and no criminal charges were brought against him in Santa Clara</w:t>
      </w:r>
      <w:r w:rsidR="007B3697" w:rsidRPr="00B80AAA">
        <w:rPr>
          <w:color w:val="000000" w:themeColor="text1"/>
        </w:rPr>
        <w:t>,</w:t>
      </w:r>
      <w:r w:rsidRPr="00B80AAA">
        <w:rPr>
          <w:color w:val="000000" w:themeColor="text1"/>
        </w:rPr>
        <w:t xml:space="preserve"> so as not to jeopardize the investigations in Madruga.</w:t>
      </w:r>
      <w:r w:rsidRPr="00B80AAA">
        <w:rPr>
          <w:rStyle w:val="FootnoteReference"/>
          <w:color w:val="000000" w:themeColor="text1"/>
        </w:rPr>
        <w:footnoteReference w:id="22"/>
      </w:r>
      <w:r w:rsidRPr="00B80AAA">
        <w:rPr>
          <w:color w:val="000000" w:themeColor="text1"/>
        </w:rPr>
        <w:t xml:space="preserve"> </w:t>
      </w:r>
    </w:p>
    <w:p w:rsidR="00B81365" w:rsidRPr="00B80AAA" w:rsidRDefault="00B81365" w:rsidP="00B80AAA">
      <w:pPr>
        <w:spacing w:line="480" w:lineRule="auto"/>
        <w:jc w:val="both"/>
        <w:rPr>
          <w:color w:val="000000" w:themeColor="text1"/>
        </w:rPr>
      </w:pPr>
      <w:r w:rsidRPr="00B80AAA">
        <w:rPr>
          <w:color w:val="000000" w:themeColor="text1"/>
        </w:rPr>
        <w:t xml:space="preserve">In Madruga a criminal money laundering investigation was launched against the two leaders of Los Olivos </w:t>
      </w:r>
      <w:r w:rsidR="007B3697" w:rsidRPr="00B80AAA">
        <w:rPr>
          <w:color w:val="000000" w:themeColor="text1"/>
        </w:rPr>
        <w:t xml:space="preserve">militia group </w:t>
      </w:r>
      <w:r w:rsidRPr="00B80AAA">
        <w:rPr>
          <w:color w:val="000000" w:themeColor="text1"/>
        </w:rPr>
        <w:t xml:space="preserve">but was closed due to the expiration of the </w:t>
      </w:r>
      <w:r w:rsidR="007B3697" w:rsidRPr="00B80AAA">
        <w:rPr>
          <w:color w:val="000000" w:themeColor="text1"/>
        </w:rPr>
        <w:t>criminal statute of limitations.</w:t>
      </w:r>
      <w:r w:rsidR="007B3697" w:rsidRPr="00B80AAA">
        <w:rPr>
          <w:rStyle w:val="FootnoteReference"/>
          <w:color w:val="000000" w:themeColor="text1"/>
        </w:rPr>
        <w:footnoteReference w:id="23"/>
      </w:r>
      <w:r w:rsidRPr="00B80AAA">
        <w:rPr>
          <w:color w:val="000000" w:themeColor="text1"/>
        </w:rPr>
        <w:t xml:space="preserve"> </w:t>
      </w:r>
      <w:r w:rsidR="007B3697" w:rsidRPr="00B80AAA">
        <w:rPr>
          <w:color w:val="000000" w:themeColor="text1"/>
        </w:rPr>
        <w:t>A</w:t>
      </w:r>
      <w:r w:rsidRPr="00B80AAA">
        <w:rPr>
          <w:color w:val="000000" w:themeColor="text1"/>
        </w:rPr>
        <w:t xml:space="preserve">n audit was also launched against Miningcorp S.A. </w:t>
      </w:r>
      <w:r w:rsidR="007B3697" w:rsidRPr="00B80AAA">
        <w:rPr>
          <w:color w:val="000000" w:themeColor="text1"/>
        </w:rPr>
        <w:t xml:space="preserve">however it </w:t>
      </w:r>
      <w:r w:rsidRPr="00B80AAA">
        <w:rPr>
          <w:color w:val="000000" w:themeColor="text1"/>
        </w:rPr>
        <w:t>was shelved a few weeks after the company initiated proceedings against Madruga before the NAFTDA Arbitral Panel.</w:t>
      </w:r>
      <w:r w:rsidRPr="00B80AAA">
        <w:rPr>
          <w:rStyle w:val="FootnoteReference"/>
          <w:color w:val="000000" w:themeColor="text1"/>
        </w:rPr>
        <w:footnoteReference w:id="24"/>
      </w:r>
      <w:r w:rsidRPr="00B80AAA">
        <w:rPr>
          <w:color w:val="000000" w:themeColor="text1"/>
        </w:rPr>
        <w:t xml:space="preserve"> Human Rights organisations have highlighted an error in the calculation of the statute of limitations in relation to the offense of money laundering. These organizations have also emphasized that in the 1990’s alone, the militias have been involved in the deaths of over 500 social leaders, trade unionist and persons defending their territory in Northern Madruga without any member of the militia or mining company official being convicted.</w:t>
      </w:r>
      <w:r w:rsidRPr="00B80AAA">
        <w:rPr>
          <w:rStyle w:val="FootnoteReference"/>
          <w:color w:val="000000" w:themeColor="text1"/>
        </w:rPr>
        <w:footnoteReference w:id="25"/>
      </w:r>
    </w:p>
    <w:p w:rsidR="00B81365" w:rsidRPr="00B80AAA" w:rsidRDefault="00B81365" w:rsidP="00B80AAA">
      <w:pPr>
        <w:spacing w:line="480" w:lineRule="auto"/>
        <w:jc w:val="both"/>
        <w:rPr>
          <w:color w:val="000000" w:themeColor="text1"/>
        </w:rPr>
      </w:pPr>
      <w:r w:rsidRPr="00B80AAA">
        <w:rPr>
          <w:color w:val="000000" w:themeColor="text1"/>
        </w:rPr>
        <w:t xml:space="preserve">On December 10, 2002, Lucia Camana, the main spokesperson of the National Movement against Impunity, was killed while delivering a speech in San Blas, by an unknown individual using a weapon and </w:t>
      </w:r>
      <w:r w:rsidRPr="00B80AAA">
        <w:rPr>
          <w:i/>
          <w:color w:val="000000" w:themeColor="text1"/>
        </w:rPr>
        <w:t>modus operandi</w:t>
      </w:r>
      <w:r w:rsidRPr="00B80AAA">
        <w:rPr>
          <w:color w:val="000000" w:themeColor="text1"/>
        </w:rPr>
        <w:t xml:space="preserve"> similar to those used in the murder of the rest of her family in 1994.</w:t>
      </w:r>
      <w:r w:rsidRPr="00B80AAA">
        <w:rPr>
          <w:rStyle w:val="FootnoteReference"/>
          <w:color w:val="000000" w:themeColor="text1"/>
        </w:rPr>
        <w:footnoteReference w:id="26"/>
      </w:r>
      <w:r w:rsidRPr="00B80AAA">
        <w:rPr>
          <w:color w:val="000000" w:themeColor="text1"/>
        </w:rPr>
        <w:t xml:space="preserve"> In 2004, Ms Camana’s grandparents were allowed to access the case file of the murder investigation</w:t>
      </w:r>
      <w:r w:rsidR="00B10439" w:rsidRPr="00B80AAA">
        <w:rPr>
          <w:color w:val="000000" w:themeColor="text1"/>
        </w:rPr>
        <w:t>. In that file,</w:t>
      </w:r>
      <w:r w:rsidRPr="00B80AAA">
        <w:rPr>
          <w:color w:val="000000" w:themeColor="text1"/>
        </w:rPr>
        <w:t xml:space="preserve"> they found an official letter from the Co</w:t>
      </w:r>
      <w:r w:rsidR="00B10439" w:rsidRPr="00B80AAA">
        <w:rPr>
          <w:color w:val="000000" w:themeColor="text1"/>
        </w:rPr>
        <w:t>nsul of Santa Clara in San Blas</w:t>
      </w:r>
      <w:r w:rsidRPr="00B80AAA">
        <w:rPr>
          <w:color w:val="000000" w:themeColor="text1"/>
        </w:rPr>
        <w:t xml:space="preserve"> </w:t>
      </w:r>
      <w:r w:rsidR="00B10439" w:rsidRPr="00B80AAA">
        <w:rPr>
          <w:color w:val="000000" w:themeColor="text1"/>
        </w:rPr>
        <w:t xml:space="preserve">which stated </w:t>
      </w:r>
      <w:r w:rsidRPr="00B80AAA">
        <w:rPr>
          <w:color w:val="000000" w:themeColor="text1"/>
        </w:rPr>
        <w:t>that the Constitut</w:t>
      </w:r>
      <w:r w:rsidR="00B10439" w:rsidRPr="00B80AAA">
        <w:rPr>
          <w:color w:val="000000" w:themeColor="text1"/>
        </w:rPr>
        <w:t>ion of Santa Clara prohibited</w:t>
      </w:r>
      <w:r w:rsidRPr="00B80AAA">
        <w:rPr>
          <w:color w:val="000000" w:themeColor="text1"/>
        </w:rPr>
        <w:t xml:space="preserve"> the extradition of its nationals.</w:t>
      </w:r>
      <w:r w:rsidRPr="00B80AAA">
        <w:rPr>
          <w:rStyle w:val="FootnoteReference"/>
          <w:color w:val="000000" w:themeColor="text1"/>
        </w:rPr>
        <w:footnoteReference w:id="27"/>
      </w:r>
      <w:r w:rsidR="00C56FD1" w:rsidRPr="00B80AAA">
        <w:rPr>
          <w:color w:val="000000" w:themeColor="text1"/>
        </w:rPr>
        <w:t xml:space="preserve"> Four years later in 2006, WikiL</w:t>
      </w:r>
      <w:r w:rsidRPr="00B80AAA">
        <w:rPr>
          <w:color w:val="000000" w:themeColor="text1"/>
        </w:rPr>
        <w:t>eaks published two cables from the Consul of Santa Clara in Madruga, which reported the suspension of David Nelson, a military attaché who held three meetings with m</w:t>
      </w:r>
      <w:r w:rsidR="00C56FD1" w:rsidRPr="00B80AAA">
        <w:rPr>
          <w:color w:val="000000" w:themeColor="text1"/>
        </w:rPr>
        <w:t>embers of the outlawed Los Oliv</w:t>
      </w:r>
      <w:r w:rsidRPr="00B80AAA">
        <w:rPr>
          <w:color w:val="000000" w:themeColor="text1"/>
        </w:rPr>
        <w:t xml:space="preserve">os militia </w:t>
      </w:r>
      <w:r w:rsidR="007B3697" w:rsidRPr="00B80AAA">
        <w:rPr>
          <w:color w:val="000000" w:themeColor="text1"/>
        </w:rPr>
        <w:t xml:space="preserve">group </w:t>
      </w:r>
      <w:r w:rsidRPr="00B80AAA">
        <w:rPr>
          <w:color w:val="000000" w:themeColor="text1"/>
        </w:rPr>
        <w:t>at Miningcorp</w:t>
      </w:r>
      <w:r w:rsidR="007B3697" w:rsidRPr="00B80AAA">
        <w:rPr>
          <w:color w:val="000000" w:themeColor="text1"/>
        </w:rPr>
        <w:t xml:space="preserve"> S.A</w:t>
      </w:r>
      <w:r w:rsidRPr="00B80AAA">
        <w:rPr>
          <w:color w:val="000000" w:themeColor="text1"/>
        </w:rPr>
        <w:t xml:space="preserve">’s office in </w:t>
      </w:r>
      <w:r w:rsidRPr="00B80AAA">
        <w:rPr>
          <w:color w:val="000000" w:themeColor="text1"/>
        </w:rPr>
        <w:lastRenderedPageBreak/>
        <w:t>San Blas.</w:t>
      </w:r>
      <w:r w:rsidRPr="00B80AAA">
        <w:rPr>
          <w:rStyle w:val="FootnoteReference"/>
          <w:color w:val="000000" w:themeColor="text1"/>
        </w:rPr>
        <w:footnoteReference w:id="28"/>
      </w:r>
      <w:r w:rsidRPr="00B80AAA">
        <w:rPr>
          <w:color w:val="000000" w:themeColor="text1"/>
        </w:rPr>
        <w:t xml:space="preserve"> Subsequent to these new findings, Lucia Camana’s relatives requested the Office of the Prosecutor General of Madruga to extend its criminal investigation of Lucia’s murder to David Nelson. However, their request was denied as it was concluded that Mr. Nelson enjoyed immunity from prosecution as a result of his post.</w:t>
      </w:r>
      <w:r w:rsidRPr="00B80AAA">
        <w:rPr>
          <w:rStyle w:val="FootnoteReference"/>
          <w:color w:val="000000" w:themeColor="text1"/>
        </w:rPr>
        <w:footnoteReference w:id="29"/>
      </w:r>
    </w:p>
    <w:p w:rsidR="002E7CE7" w:rsidRPr="00B80AAA" w:rsidRDefault="00B81365" w:rsidP="00B80AAA">
      <w:pPr>
        <w:spacing w:line="480" w:lineRule="auto"/>
        <w:jc w:val="both"/>
        <w:rPr>
          <w:color w:val="000000" w:themeColor="text1"/>
        </w:rPr>
      </w:pPr>
      <w:r w:rsidRPr="00B80AAA">
        <w:rPr>
          <w:color w:val="000000" w:themeColor="text1"/>
        </w:rPr>
        <w:t>After more than 5 years of the investigations remaining at the preliminary stage, the members of the Camana Osorio family brought civil and criminal actions in Santa Clara due to the five years without progress in Madruga.</w:t>
      </w:r>
      <w:r w:rsidRPr="00B80AAA">
        <w:rPr>
          <w:color w:val="000000" w:themeColor="text1"/>
          <w:vertAlign w:val="superscript"/>
        </w:rPr>
        <w:footnoteReference w:id="30"/>
      </w:r>
      <w:r w:rsidRPr="00B80AAA">
        <w:rPr>
          <w:color w:val="000000" w:themeColor="text1"/>
        </w:rPr>
        <w:t xml:space="preserve"> The Federal Courts and Civil Divisions of Santa Clara ruled all the claims inadmissible claiming that they would not have extraterritorial jurisdiction to hear them.</w:t>
      </w:r>
      <w:r w:rsidRPr="00B80AAA">
        <w:rPr>
          <w:color w:val="000000" w:themeColor="text1"/>
          <w:vertAlign w:val="superscript"/>
        </w:rPr>
        <w:footnoteReference w:id="31"/>
      </w:r>
      <w:r w:rsidRPr="00B80AAA">
        <w:rPr>
          <w:color w:val="000000" w:themeColor="text1"/>
        </w:rPr>
        <w:t xml:space="preserve"> The criminal claims were eventually deemed inadmissible by the Supreme Court of Santa Clara on May 3 2010, due to the 1994 murder case being shelved by the Madrugan authorities and </w:t>
      </w:r>
      <w:r w:rsidR="007B3697" w:rsidRPr="00B80AAA">
        <w:rPr>
          <w:color w:val="000000" w:themeColor="text1"/>
        </w:rPr>
        <w:t xml:space="preserve">the finding that it was </w:t>
      </w:r>
      <w:r w:rsidRPr="00B80AAA">
        <w:rPr>
          <w:color w:val="000000" w:themeColor="text1"/>
        </w:rPr>
        <w:t>outside of their scope to act as a supra</w:t>
      </w:r>
      <w:r w:rsidR="00C94FF8" w:rsidRPr="00B80AAA">
        <w:rPr>
          <w:color w:val="000000" w:themeColor="text1"/>
        </w:rPr>
        <w:t>national appeals C</w:t>
      </w:r>
      <w:r w:rsidRPr="00B80AAA">
        <w:rPr>
          <w:color w:val="000000" w:themeColor="text1"/>
        </w:rPr>
        <w:t>ourt concerning the 2002 murder case.</w:t>
      </w:r>
      <w:r w:rsidRPr="00B80AAA">
        <w:rPr>
          <w:color w:val="000000" w:themeColor="text1"/>
          <w:vertAlign w:val="superscript"/>
        </w:rPr>
        <w:footnoteReference w:id="32"/>
      </w:r>
      <w:r w:rsidRPr="00B80AAA">
        <w:rPr>
          <w:color w:val="000000" w:themeColor="text1"/>
        </w:rPr>
        <w:t xml:space="preserve"> The civil claim was permitted as the Supreme Court found that the State did have extraterritorial jurisdiction over the matter and the claimants agreed to a US $150,000 settlement from Miningcorp</w:t>
      </w:r>
      <w:r w:rsidR="00C8729B" w:rsidRPr="00B80AAA">
        <w:rPr>
          <w:color w:val="000000" w:themeColor="text1"/>
        </w:rPr>
        <w:t xml:space="preserve"> S.A</w:t>
      </w:r>
      <w:r w:rsidRPr="00B80AAA">
        <w:rPr>
          <w:color w:val="000000" w:themeColor="text1"/>
        </w:rPr>
        <w:t xml:space="preserve"> in September of 2010.</w:t>
      </w:r>
      <w:r w:rsidRPr="00B80AAA">
        <w:rPr>
          <w:color w:val="000000" w:themeColor="text1"/>
          <w:vertAlign w:val="superscript"/>
        </w:rPr>
        <w:footnoteReference w:id="33"/>
      </w:r>
      <w:r w:rsidRPr="00B80AAA">
        <w:rPr>
          <w:color w:val="000000" w:themeColor="text1"/>
        </w:rPr>
        <w:t xml:space="preserve"> The relatives of Edmundo Camana, </w:t>
      </w:r>
      <w:r w:rsidR="00FD485D" w:rsidRPr="00B80AAA">
        <w:rPr>
          <w:color w:val="000000" w:themeColor="text1"/>
        </w:rPr>
        <w:t xml:space="preserve">Teresa Osorio </w:t>
      </w:r>
      <w:r w:rsidRPr="00B80AAA">
        <w:rPr>
          <w:color w:val="000000" w:themeColor="text1"/>
        </w:rPr>
        <w:t xml:space="preserve">and </w:t>
      </w:r>
      <w:r w:rsidR="00FD485D" w:rsidRPr="00B80AAA">
        <w:rPr>
          <w:color w:val="000000" w:themeColor="text1"/>
        </w:rPr>
        <w:t xml:space="preserve">their </w:t>
      </w:r>
      <w:r w:rsidRPr="00B80AAA">
        <w:rPr>
          <w:color w:val="000000" w:themeColor="text1"/>
        </w:rPr>
        <w:t>children then submitted a petition to the IACHR in March 2011, concerning the previously filed criminal complaints for the murders of 1994 and 2002.</w:t>
      </w:r>
      <w:r w:rsidRPr="00B80AAA">
        <w:rPr>
          <w:color w:val="000000" w:themeColor="text1"/>
          <w:vertAlign w:val="superscript"/>
        </w:rPr>
        <w:footnoteReference w:id="34"/>
      </w:r>
      <w:r w:rsidRPr="00B80AAA">
        <w:rPr>
          <w:color w:val="000000" w:themeColor="text1"/>
        </w:rPr>
        <w:t xml:space="preserve"> </w:t>
      </w:r>
    </w:p>
    <w:p w:rsidR="006066AF" w:rsidRPr="00B80AAA" w:rsidRDefault="006066AF" w:rsidP="00B80AAA">
      <w:pPr>
        <w:spacing w:line="480" w:lineRule="auto"/>
        <w:jc w:val="both"/>
        <w:rPr>
          <w:b/>
          <w:i/>
          <w:color w:val="000000" w:themeColor="text1"/>
        </w:rPr>
      </w:pPr>
    </w:p>
    <w:p w:rsidR="006066AF" w:rsidRPr="00B80AAA" w:rsidRDefault="006066AF" w:rsidP="00B80AAA">
      <w:pPr>
        <w:spacing w:line="480" w:lineRule="auto"/>
        <w:jc w:val="both"/>
        <w:rPr>
          <w:b/>
          <w:i/>
          <w:color w:val="000000" w:themeColor="text1"/>
        </w:rPr>
      </w:pPr>
    </w:p>
    <w:p w:rsidR="00B81365" w:rsidRPr="00B80AAA" w:rsidRDefault="00B81365" w:rsidP="00B80AAA">
      <w:pPr>
        <w:spacing w:line="480" w:lineRule="auto"/>
        <w:jc w:val="both"/>
        <w:rPr>
          <w:b/>
          <w:i/>
          <w:color w:val="000000" w:themeColor="text1"/>
        </w:rPr>
      </w:pPr>
      <w:r w:rsidRPr="00B80AAA">
        <w:rPr>
          <w:b/>
          <w:i/>
          <w:color w:val="000000" w:themeColor="text1"/>
        </w:rPr>
        <w:lastRenderedPageBreak/>
        <w:t>The Wirikuya Project and the Indigenous peoples</w:t>
      </w:r>
    </w:p>
    <w:p w:rsidR="00B81365" w:rsidRPr="00B80AAA" w:rsidRDefault="00B81365" w:rsidP="00B80AAA">
      <w:pPr>
        <w:spacing w:line="480" w:lineRule="auto"/>
        <w:jc w:val="both"/>
        <w:rPr>
          <w:color w:val="000000" w:themeColor="text1"/>
        </w:rPr>
      </w:pPr>
      <w:r w:rsidRPr="00B80AAA">
        <w:rPr>
          <w:color w:val="000000" w:themeColor="text1"/>
        </w:rPr>
        <w:t>In January 2007, Santa Clara sought to develop the Wirikuya project which was an open pit gold and silver mining project to be done exclusively in Santa Clara, but affecting the Doce River which flowed through more than 300 kilometres of Madrugan territory.</w:t>
      </w:r>
      <w:r w:rsidRPr="00B80AAA">
        <w:rPr>
          <w:color w:val="000000" w:themeColor="text1"/>
          <w:vertAlign w:val="superscript"/>
        </w:rPr>
        <w:footnoteReference w:id="35"/>
      </w:r>
      <w:r w:rsidRPr="00B80AAA">
        <w:rPr>
          <w:color w:val="000000" w:themeColor="text1"/>
        </w:rPr>
        <w:t xml:space="preserve"> Both the Pichicha people in Santa Clara and the Orífuna people in Madruga were identified as indigenous groups that would be affected by the Wirikuya project.</w:t>
      </w:r>
      <w:r w:rsidRPr="00B80AAA">
        <w:rPr>
          <w:color w:val="000000" w:themeColor="text1"/>
          <w:vertAlign w:val="superscript"/>
        </w:rPr>
        <w:footnoteReference w:id="36"/>
      </w:r>
      <w:r w:rsidRPr="00B80AAA">
        <w:rPr>
          <w:color w:val="000000" w:themeColor="text1"/>
        </w:rPr>
        <w:t xml:space="preserve"> The Office of the Undersecretary for Intercultural Affairs engaged in a detailed three-year consultation process with the Pichicha authorities.</w:t>
      </w:r>
      <w:r w:rsidRPr="00B80AAA">
        <w:rPr>
          <w:color w:val="000000" w:themeColor="text1"/>
          <w:vertAlign w:val="superscript"/>
        </w:rPr>
        <w:footnoteReference w:id="37"/>
      </w:r>
      <w:r w:rsidRPr="00B80AAA">
        <w:rPr>
          <w:color w:val="000000" w:themeColor="text1"/>
        </w:rPr>
        <w:t xml:space="preserve"> In November 2010, the Pichicha people agreed to the project with one of the conditions being the prohibition of the entry of mining company employees int</w:t>
      </w:r>
      <w:r w:rsidR="00FD485D" w:rsidRPr="00B80AAA">
        <w:rPr>
          <w:color w:val="000000" w:themeColor="text1"/>
        </w:rPr>
        <w:t>o the area surrounding the Mandí</w:t>
      </w:r>
      <w:r w:rsidRPr="00B80AAA">
        <w:rPr>
          <w:color w:val="000000" w:themeColor="text1"/>
        </w:rPr>
        <w:t xml:space="preserve"> Stream, which was a religious site of the Pichicha people.</w:t>
      </w:r>
      <w:r w:rsidRPr="00B80AAA">
        <w:rPr>
          <w:color w:val="000000" w:themeColor="text1"/>
          <w:vertAlign w:val="superscript"/>
        </w:rPr>
        <w:footnoteReference w:id="38"/>
      </w:r>
      <w:r w:rsidRPr="00B80AAA">
        <w:rPr>
          <w:color w:val="000000" w:themeColor="text1"/>
        </w:rPr>
        <w:t xml:space="preserve"> All conditions were agreed to by the authorities of Santa Clara. The Pampulla Lagoon was contaminated as a result of work on the Wirikuya project and as a result, the Federal Water Authority of Santa Clara (FWA) ordered the co</w:t>
      </w:r>
      <w:r w:rsidR="00FD485D" w:rsidRPr="00B80AAA">
        <w:rPr>
          <w:color w:val="000000" w:themeColor="text1"/>
        </w:rPr>
        <w:t>llection of water from the Mandí</w:t>
      </w:r>
      <w:r w:rsidRPr="00B80AAA">
        <w:rPr>
          <w:color w:val="000000" w:themeColor="text1"/>
        </w:rPr>
        <w:t xml:space="preserve"> Stream, claiming it was a warranted restriction of the Pichicha people’s property rights.</w:t>
      </w:r>
      <w:r w:rsidRPr="00B80AAA">
        <w:rPr>
          <w:color w:val="000000" w:themeColor="text1"/>
          <w:vertAlign w:val="superscript"/>
        </w:rPr>
        <w:footnoteReference w:id="39"/>
      </w:r>
      <w:r w:rsidRPr="00B80AAA">
        <w:rPr>
          <w:color w:val="000000" w:themeColor="text1"/>
        </w:rPr>
        <w:t xml:space="preserve"> An amparo filed by the Pichicha people on July 30, 2011 saw an injunction being granted for the evacuation of civil </w:t>
      </w:r>
      <w:r w:rsidR="00FD485D" w:rsidRPr="00B80AAA">
        <w:rPr>
          <w:color w:val="000000" w:themeColor="text1"/>
        </w:rPr>
        <w:t>defense personnel from the Mandí</w:t>
      </w:r>
      <w:r w:rsidRPr="00B80AAA">
        <w:rPr>
          <w:color w:val="000000" w:themeColor="text1"/>
        </w:rPr>
        <w:t xml:space="preserve"> Stream, only for it to later be shelved on August 20, 2011 as the situation causing the infringement came to an end.</w:t>
      </w:r>
      <w:r w:rsidRPr="00B80AAA">
        <w:rPr>
          <w:color w:val="000000" w:themeColor="text1"/>
          <w:vertAlign w:val="superscript"/>
        </w:rPr>
        <w:footnoteReference w:id="40"/>
      </w:r>
      <w:r w:rsidRPr="00B80AAA">
        <w:rPr>
          <w:color w:val="000000" w:themeColor="text1"/>
        </w:rPr>
        <w:t xml:space="preserve"> An appeal seeking compensation for the irreparable damage to the religious site was deemed inadmissible in November of 2011 and so in Janua</w:t>
      </w:r>
      <w:r w:rsidR="00BE7256" w:rsidRPr="00B80AAA">
        <w:rPr>
          <w:color w:val="000000" w:themeColor="text1"/>
        </w:rPr>
        <w:t>ry 2012, a petition was filed with</w:t>
      </w:r>
      <w:r w:rsidRPr="00B80AAA">
        <w:rPr>
          <w:color w:val="000000" w:themeColor="text1"/>
        </w:rPr>
        <w:t xml:space="preserve"> the IACHR.</w:t>
      </w:r>
      <w:r w:rsidRPr="00B80AAA">
        <w:rPr>
          <w:color w:val="000000" w:themeColor="text1"/>
          <w:vertAlign w:val="superscript"/>
        </w:rPr>
        <w:footnoteReference w:id="41"/>
      </w:r>
      <w:r w:rsidRPr="00B80AAA">
        <w:rPr>
          <w:color w:val="000000" w:themeColor="text1"/>
        </w:rPr>
        <w:t xml:space="preserve"> </w:t>
      </w:r>
    </w:p>
    <w:p w:rsidR="00B81365" w:rsidRPr="00B80AAA" w:rsidRDefault="00B81365" w:rsidP="00B80AAA">
      <w:pPr>
        <w:spacing w:line="480" w:lineRule="auto"/>
        <w:jc w:val="both"/>
        <w:rPr>
          <w:color w:val="000000" w:themeColor="text1"/>
        </w:rPr>
      </w:pPr>
      <w:r w:rsidRPr="00B80AAA">
        <w:rPr>
          <w:color w:val="000000" w:themeColor="text1"/>
        </w:rPr>
        <w:lastRenderedPageBreak/>
        <w:t>From May 2007 Santa Clara began discussing the Wirikuya project with Madrugan authorities, assuring them that there was no possibility of the indigenous or tribal people being affected by it.</w:t>
      </w:r>
      <w:r w:rsidRPr="00B80AAA">
        <w:rPr>
          <w:color w:val="000000" w:themeColor="text1"/>
          <w:vertAlign w:val="superscript"/>
        </w:rPr>
        <w:footnoteReference w:id="42"/>
      </w:r>
      <w:r w:rsidRPr="00B80AAA">
        <w:rPr>
          <w:color w:val="000000" w:themeColor="text1"/>
        </w:rPr>
        <w:t xml:space="preserve"> This was merely translated to the Orífuna language by Silverfield S.A. and placed on the company’s website rather than effe</w:t>
      </w:r>
      <w:r w:rsidR="006D2F9B" w:rsidRPr="00B80AAA">
        <w:rPr>
          <w:color w:val="000000" w:themeColor="text1"/>
        </w:rPr>
        <w:t>ctively communicated to the Orí</w:t>
      </w:r>
      <w:r w:rsidRPr="00B80AAA">
        <w:rPr>
          <w:color w:val="000000" w:themeColor="text1"/>
        </w:rPr>
        <w:t>funa people.</w:t>
      </w:r>
      <w:r w:rsidRPr="00B80AAA">
        <w:rPr>
          <w:color w:val="000000" w:themeColor="text1"/>
          <w:vertAlign w:val="superscript"/>
        </w:rPr>
        <w:footnoteReference w:id="43"/>
      </w:r>
      <w:r w:rsidRPr="00B80AAA">
        <w:rPr>
          <w:color w:val="000000" w:themeColor="text1"/>
        </w:rPr>
        <w:t xml:space="preserve"> Decisions regarding territorial rights had to be decided by each of the 25 communal landholdings of the Orífuna people.</w:t>
      </w:r>
      <w:r w:rsidRPr="00B80AAA">
        <w:rPr>
          <w:color w:val="000000" w:themeColor="text1"/>
          <w:vertAlign w:val="superscript"/>
        </w:rPr>
        <w:footnoteReference w:id="44"/>
      </w:r>
      <w:r w:rsidR="00FD485D" w:rsidRPr="00B80AAA">
        <w:rPr>
          <w:color w:val="000000" w:themeColor="text1"/>
        </w:rPr>
        <w:t xml:space="preserve"> The Orí</w:t>
      </w:r>
      <w:r w:rsidRPr="00B80AAA">
        <w:rPr>
          <w:color w:val="000000" w:themeColor="text1"/>
        </w:rPr>
        <w:t>funa People’s Assembly (OPA) rejected the Wirikuya project claiming a lack of prior consultation.</w:t>
      </w:r>
      <w:r w:rsidRPr="00B80AAA">
        <w:rPr>
          <w:color w:val="000000" w:themeColor="text1"/>
          <w:vertAlign w:val="superscript"/>
        </w:rPr>
        <w:footnoteReference w:id="45"/>
      </w:r>
      <w:r w:rsidRPr="00B80AAA">
        <w:rPr>
          <w:color w:val="000000" w:themeColor="text1"/>
        </w:rPr>
        <w:t xml:space="preserve"> Silverfield S.A. created a trust fund for development projects benefitting the Orífuna people in July 2011 of more than US $50 million and in August 2011, 13 of the 25 presidents signed a document permitting Silverfield S.A. to use the Doce River and the Port of San Blas in August 2011.</w:t>
      </w:r>
      <w:r w:rsidRPr="00B80AAA">
        <w:rPr>
          <w:color w:val="000000" w:themeColor="text1"/>
          <w:vertAlign w:val="superscript"/>
        </w:rPr>
        <w:footnoteReference w:id="46"/>
      </w:r>
      <w:r w:rsidRPr="00B80AAA">
        <w:rPr>
          <w:color w:val="000000" w:themeColor="text1"/>
        </w:rPr>
        <w:t xml:space="preserve"> An amparo was filed in Madruga by the OPA, concerning the lack of consultation and the Human Rights Clinic of the University of Toronga filed an action in Santa Clara to nullify the license for the Wirikuya project in Madruga.</w:t>
      </w:r>
      <w:r w:rsidRPr="00B80AAA">
        <w:rPr>
          <w:color w:val="000000" w:themeColor="text1"/>
          <w:vertAlign w:val="superscript"/>
        </w:rPr>
        <w:footnoteReference w:id="47"/>
      </w:r>
      <w:r w:rsidRPr="00B80AAA">
        <w:rPr>
          <w:color w:val="000000" w:themeColor="text1"/>
        </w:rPr>
        <w:t xml:space="preserve"> The first claim was declared inadmissible in December of 2011 and the second was ruled to be unfounded in January of 2012.</w:t>
      </w:r>
      <w:r w:rsidRPr="00B80AAA">
        <w:rPr>
          <w:color w:val="000000" w:themeColor="text1"/>
          <w:vertAlign w:val="superscript"/>
        </w:rPr>
        <w:footnoteReference w:id="48"/>
      </w:r>
      <w:r w:rsidR="00B10439" w:rsidRPr="00B80AAA">
        <w:rPr>
          <w:color w:val="000000" w:themeColor="text1"/>
        </w:rPr>
        <w:t xml:space="preserve"> In February </w:t>
      </w:r>
      <w:r w:rsidRPr="00B80AAA">
        <w:rPr>
          <w:color w:val="000000" w:themeColor="text1"/>
        </w:rPr>
        <w:t>2012, the Human Rights Clinic</w:t>
      </w:r>
      <w:r w:rsidR="00B10439" w:rsidRPr="00B80AAA">
        <w:rPr>
          <w:color w:val="000000" w:themeColor="text1"/>
        </w:rPr>
        <w:t xml:space="preserve"> of Toronga filed a petition with </w:t>
      </w:r>
      <w:r w:rsidRPr="00B80AAA">
        <w:rPr>
          <w:color w:val="000000" w:themeColor="text1"/>
        </w:rPr>
        <w:t>the IACHR against Santa Clara concerning the lack of prior consultation.</w:t>
      </w:r>
      <w:r w:rsidRPr="00B80AAA">
        <w:rPr>
          <w:color w:val="000000" w:themeColor="text1"/>
          <w:vertAlign w:val="superscript"/>
        </w:rPr>
        <w:footnoteReference w:id="49"/>
      </w:r>
    </w:p>
    <w:p w:rsidR="00B81365" w:rsidRPr="00B80AAA" w:rsidRDefault="00B81365" w:rsidP="00B80AAA">
      <w:pPr>
        <w:spacing w:line="480" w:lineRule="auto"/>
        <w:jc w:val="both"/>
        <w:rPr>
          <w:color w:val="000000" w:themeColor="text1"/>
        </w:rPr>
      </w:pPr>
      <w:r w:rsidRPr="00B80AAA">
        <w:rPr>
          <w:color w:val="000000" w:themeColor="text1"/>
        </w:rPr>
        <w:t>In March 2014, the IACHR found that Santa Clara had violated Articles 4, 5, 8, 16,</w:t>
      </w:r>
      <w:r w:rsidR="004C27F4" w:rsidRPr="00B80AAA">
        <w:rPr>
          <w:color w:val="000000" w:themeColor="text1"/>
        </w:rPr>
        <w:t xml:space="preserve"> 17 and 25 of t</w:t>
      </w:r>
      <w:r w:rsidRPr="00B80AAA">
        <w:rPr>
          <w:color w:val="000000" w:themeColor="text1"/>
        </w:rPr>
        <w:t xml:space="preserve">he </w:t>
      </w:r>
      <w:r w:rsidRPr="00B80AAA">
        <w:rPr>
          <w:i/>
          <w:color w:val="000000" w:themeColor="text1"/>
        </w:rPr>
        <w:t>Convention</w:t>
      </w:r>
      <w:r w:rsidRPr="00B80AAA">
        <w:rPr>
          <w:color w:val="000000" w:themeColor="text1"/>
        </w:rPr>
        <w:t xml:space="preserve"> with regard to the deceased members of the Camana Osorio family.</w:t>
      </w:r>
      <w:r w:rsidRPr="00B80AAA">
        <w:rPr>
          <w:color w:val="000000" w:themeColor="text1"/>
          <w:vertAlign w:val="superscript"/>
        </w:rPr>
        <w:footnoteReference w:id="50"/>
      </w:r>
      <w:r w:rsidRPr="00B80AAA">
        <w:rPr>
          <w:color w:val="000000" w:themeColor="text1"/>
        </w:rPr>
        <w:t xml:space="preserve"> It found Santa Clara to also have violated Article 5.1 of the </w:t>
      </w:r>
      <w:r w:rsidRPr="00B80AAA">
        <w:rPr>
          <w:i/>
          <w:color w:val="000000" w:themeColor="text1"/>
        </w:rPr>
        <w:t>Convention</w:t>
      </w:r>
      <w:r w:rsidRPr="00B80AAA">
        <w:rPr>
          <w:color w:val="000000" w:themeColor="text1"/>
        </w:rPr>
        <w:t xml:space="preserve"> in relation to the immediate </w:t>
      </w:r>
      <w:r w:rsidRPr="00B80AAA">
        <w:rPr>
          <w:color w:val="000000" w:themeColor="text1"/>
        </w:rPr>
        <w:lastRenderedPageBreak/>
        <w:t>relatives of the Camana Osorio family.</w:t>
      </w:r>
      <w:r w:rsidRPr="00B80AAA">
        <w:rPr>
          <w:color w:val="000000" w:themeColor="text1"/>
          <w:vertAlign w:val="superscript"/>
        </w:rPr>
        <w:footnoteReference w:id="51"/>
      </w:r>
      <w:r w:rsidRPr="00B80AAA">
        <w:rPr>
          <w:color w:val="000000" w:themeColor="text1"/>
        </w:rPr>
        <w:t xml:space="preserve"> The IACHR, also found Santa Clara responsible for the violation of the rights enshrined in A</w:t>
      </w:r>
      <w:r w:rsidR="004C27F4" w:rsidRPr="00B80AAA">
        <w:rPr>
          <w:color w:val="000000" w:themeColor="text1"/>
        </w:rPr>
        <w:t>rticles 5, 8, 21, 25 and 26 of t</w:t>
      </w:r>
      <w:r w:rsidRPr="00B80AAA">
        <w:rPr>
          <w:color w:val="000000" w:themeColor="text1"/>
        </w:rPr>
        <w:t xml:space="preserve">he </w:t>
      </w:r>
      <w:r w:rsidRPr="00B80AAA">
        <w:rPr>
          <w:i/>
          <w:color w:val="000000" w:themeColor="text1"/>
        </w:rPr>
        <w:t>Convention</w:t>
      </w:r>
      <w:r w:rsidRPr="00B80AAA">
        <w:rPr>
          <w:color w:val="000000" w:themeColor="text1"/>
        </w:rPr>
        <w:t>, with regard to the Pichicha people,</w:t>
      </w:r>
      <w:r w:rsidRPr="00B80AAA">
        <w:rPr>
          <w:color w:val="000000" w:themeColor="text1"/>
          <w:vertAlign w:val="superscript"/>
        </w:rPr>
        <w:footnoteReference w:id="52"/>
      </w:r>
      <w:r w:rsidRPr="00B80AAA">
        <w:rPr>
          <w:color w:val="000000" w:themeColor="text1"/>
        </w:rPr>
        <w:t xml:space="preserve"> and Articles 8 and 25 of the Convention concerning the Orífuna people.</w:t>
      </w:r>
      <w:r w:rsidRPr="00B80AAA">
        <w:rPr>
          <w:color w:val="000000" w:themeColor="text1"/>
          <w:vertAlign w:val="superscript"/>
        </w:rPr>
        <w:footnoteReference w:id="53"/>
      </w:r>
      <w:r w:rsidRPr="00B80AAA">
        <w:rPr>
          <w:color w:val="000000" w:themeColor="text1"/>
        </w:rPr>
        <w:t xml:space="preserve"> Concerning admissibility, the State of Santa Clara claimed that the IACHR lacked jurisdiction with respect to the two petitions arising out of incidents occurring in Madruga.</w:t>
      </w:r>
      <w:r w:rsidRPr="00B80AAA">
        <w:rPr>
          <w:color w:val="000000" w:themeColor="text1"/>
          <w:vertAlign w:val="superscript"/>
        </w:rPr>
        <w:footnoteReference w:id="54"/>
      </w:r>
      <w:r w:rsidRPr="00B80AAA">
        <w:rPr>
          <w:color w:val="000000" w:themeColor="text1"/>
        </w:rPr>
        <w:t xml:space="preserve"> Santa Clara found the IACHR decision on the merits to be legally groundless and in November 2014, submitted a letter to the IACHR communicating their non-compliance with the recommendations, which led to the case being submitted to the IACtHR by the IACHR.</w:t>
      </w:r>
      <w:r w:rsidRPr="00B80AAA">
        <w:rPr>
          <w:color w:val="000000" w:themeColor="text1"/>
          <w:vertAlign w:val="superscript"/>
        </w:rPr>
        <w:footnoteReference w:id="55"/>
      </w:r>
    </w:p>
    <w:p w:rsidR="00CD01BE" w:rsidRPr="00B80AAA" w:rsidRDefault="00CD01BE" w:rsidP="00B80AAA">
      <w:pPr>
        <w:pStyle w:val="Heading1"/>
        <w:spacing w:line="480" w:lineRule="auto"/>
        <w:jc w:val="both"/>
        <w:rPr>
          <w:rFonts w:ascii="Times New Roman" w:hAnsi="Times New Roman" w:cs="Times New Roman"/>
          <w:color w:val="000000" w:themeColor="text1"/>
          <w:sz w:val="24"/>
          <w:szCs w:val="24"/>
        </w:rPr>
      </w:pPr>
      <w:bookmarkStart w:id="20" w:name="_Toc446831626"/>
      <w:r w:rsidRPr="00B80AAA">
        <w:rPr>
          <w:rFonts w:ascii="Times New Roman" w:hAnsi="Times New Roman" w:cs="Times New Roman"/>
          <w:color w:val="000000" w:themeColor="text1"/>
          <w:sz w:val="24"/>
          <w:szCs w:val="24"/>
        </w:rPr>
        <w:t>3. LEGAL ANALYSIS</w:t>
      </w:r>
      <w:bookmarkStart w:id="21" w:name="_Toc440048739"/>
      <w:bookmarkEnd w:id="20"/>
    </w:p>
    <w:p w:rsidR="00CD01BE" w:rsidRPr="00B80AAA" w:rsidRDefault="00CD01BE" w:rsidP="00B80AAA">
      <w:pPr>
        <w:pStyle w:val="Heading2"/>
        <w:spacing w:line="480" w:lineRule="auto"/>
        <w:jc w:val="both"/>
        <w:rPr>
          <w:rFonts w:ascii="Times New Roman" w:hAnsi="Times New Roman" w:cs="Times New Roman"/>
          <w:color w:val="000000" w:themeColor="text1"/>
          <w:sz w:val="24"/>
          <w:szCs w:val="24"/>
        </w:rPr>
      </w:pPr>
      <w:bookmarkStart w:id="22" w:name="_Toc441798772"/>
      <w:bookmarkStart w:id="23" w:name="_Toc446831627"/>
      <w:bookmarkEnd w:id="21"/>
      <w:r w:rsidRPr="00B80AAA">
        <w:rPr>
          <w:rFonts w:ascii="Times New Roman" w:hAnsi="Times New Roman" w:cs="Times New Roman"/>
          <w:color w:val="000000" w:themeColor="text1"/>
          <w:sz w:val="24"/>
          <w:szCs w:val="24"/>
        </w:rPr>
        <w:t xml:space="preserve">3.1 </w:t>
      </w:r>
      <w:r w:rsidR="004924A8" w:rsidRPr="00B80AAA">
        <w:rPr>
          <w:rFonts w:ascii="Times New Roman" w:hAnsi="Times New Roman" w:cs="Times New Roman"/>
          <w:color w:val="000000" w:themeColor="text1"/>
          <w:sz w:val="24"/>
          <w:szCs w:val="24"/>
        </w:rPr>
        <w:t xml:space="preserve">Statement of </w:t>
      </w:r>
      <w:r w:rsidRPr="00B80AAA">
        <w:rPr>
          <w:rFonts w:ascii="Times New Roman" w:hAnsi="Times New Roman" w:cs="Times New Roman"/>
          <w:color w:val="000000" w:themeColor="text1"/>
          <w:sz w:val="24"/>
          <w:szCs w:val="24"/>
        </w:rPr>
        <w:t>Jurisdiction</w:t>
      </w:r>
      <w:bookmarkEnd w:id="22"/>
      <w:bookmarkEnd w:id="23"/>
    </w:p>
    <w:p w:rsidR="008F01FF" w:rsidRPr="00B80AAA" w:rsidRDefault="000C741C" w:rsidP="00B80AAA">
      <w:pPr>
        <w:spacing w:line="480" w:lineRule="auto"/>
        <w:jc w:val="both"/>
        <w:rPr>
          <w:color w:val="000000" w:themeColor="text1"/>
        </w:rPr>
      </w:pPr>
      <w:r w:rsidRPr="00B80AAA">
        <w:rPr>
          <w:color w:val="000000" w:themeColor="text1"/>
        </w:rPr>
        <w:t>The Inter-American Court on Human Rights (hereinafter “The Court”) has juri</w:t>
      </w:r>
      <w:r w:rsidR="003A2900" w:rsidRPr="00B80AAA">
        <w:rPr>
          <w:color w:val="000000" w:themeColor="text1"/>
        </w:rPr>
        <w:t>sdiction to hear this case, as t</w:t>
      </w:r>
      <w:r w:rsidRPr="00B80AAA">
        <w:rPr>
          <w:color w:val="000000" w:themeColor="text1"/>
        </w:rPr>
        <w:t xml:space="preserve">he State of Santa Clara (hereinafter “Santa Clara”) has ratified the </w:t>
      </w:r>
      <w:r w:rsidRPr="00B80AAA">
        <w:rPr>
          <w:i/>
          <w:iCs/>
          <w:color w:val="000000" w:themeColor="text1"/>
        </w:rPr>
        <w:t>American Convention on Human Rights</w:t>
      </w:r>
      <w:r w:rsidR="003A2900" w:rsidRPr="00B80AAA">
        <w:rPr>
          <w:color w:val="000000" w:themeColor="text1"/>
        </w:rPr>
        <w:t xml:space="preserve"> (hereinafter t</w:t>
      </w:r>
      <w:r w:rsidRPr="00B80AAA">
        <w:rPr>
          <w:color w:val="000000" w:themeColor="text1"/>
        </w:rPr>
        <w:t xml:space="preserve">he </w:t>
      </w:r>
      <w:r w:rsidR="003A2900" w:rsidRPr="00B80AAA">
        <w:rPr>
          <w:color w:val="000000" w:themeColor="text1"/>
        </w:rPr>
        <w:t>“</w:t>
      </w:r>
      <w:r w:rsidRPr="00B80AAA">
        <w:rPr>
          <w:i/>
          <w:iCs/>
          <w:color w:val="000000" w:themeColor="text1"/>
        </w:rPr>
        <w:t>Convention</w:t>
      </w:r>
      <w:r w:rsidR="003A2900" w:rsidRPr="00B80AAA">
        <w:rPr>
          <w:i/>
          <w:iCs/>
          <w:color w:val="000000" w:themeColor="text1"/>
        </w:rPr>
        <w:t>”</w:t>
      </w:r>
      <w:r w:rsidRPr="00B80AAA">
        <w:rPr>
          <w:color w:val="000000" w:themeColor="text1"/>
        </w:rPr>
        <w:t xml:space="preserve"> or “</w:t>
      </w:r>
      <w:r w:rsidRPr="00B80AAA">
        <w:rPr>
          <w:i/>
          <w:iCs/>
          <w:color w:val="000000" w:themeColor="text1"/>
        </w:rPr>
        <w:t>ACHR</w:t>
      </w:r>
      <w:r w:rsidRPr="00B80AAA">
        <w:rPr>
          <w:color w:val="000000" w:themeColor="text1"/>
        </w:rPr>
        <w:t>”),</w:t>
      </w:r>
      <w:r w:rsidR="004879A9" w:rsidRPr="00B80AAA">
        <w:rPr>
          <w:rStyle w:val="FootnoteReference"/>
          <w:i/>
          <w:iCs/>
          <w:color w:val="000000" w:themeColor="text1"/>
        </w:rPr>
        <w:t xml:space="preserve"> </w:t>
      </w:r>
      <w:r w:rsidR="004879A9" w:rsidRPr="00B80AAA">
        <w:rPr>
          <w:rStyle w:val="FootnoteReference"/>
          <w:i/>
          <w:iCs/>
          <w:color w:val="000000" w:themeColor="text1"/>
        </w:rPr>
        <w:footnoteReference w:id="56"/>
      </w:r>
      <w:r w:rsidRPr="00B80AAA">
        <w:rPr>
          <w:color w:val="000000" w:themeColor="text1"/>
        </w:rPr>
        <w:t xml:space="preserve"> and accepted the contentious jurisdiction of the Court in February 1980.</w:t>
      </w:r>
      <w:r w:rsidR="003A2900" w:rsidRPr="00B80AAA">
        <w:rPr>
          <w:rStyle w:val="FootnoteReference"/>
          <w:color w:val="000000" w:themeColor="text1"/>
        </w:rPr>
        <w:footnoteReference w:id="57"/>
      </w:r>
      <w:r w:rsidRPr="00B80AAA">
        <w:rPr>
          <w:color w:val="000000" w:themeColor="text1"/>
        </w:rPr>
        <w:t xml:space="preserve"> Therefore, pursuant to Articles 61</w:t>
      </w:r>
      <w:r w:rsidR="003A2900" w:rsidRPr="00B80AAA">
        <w:rPr>
          <w:rStyle w:val="FootnoteReference"/>
          <w:color w:val="000000" w:themeColor="text1"/>
        </w:rPr>
        <w:footnoteReference w:id="58"/>
      </w:r>
      <w:r w:rsidRPr="00B80AAA">
        <w:rPr>
          <w:color w:val="000000" w:themeColor="text1"/>
        </w:rPr>
        <w:t xml:space="preserve"> and 62</w:t>
      </w:r>
      <w:r w:rsidR="003A2900" w:rsidRPr="00B80AAA">
        <w:rPr>
          <w:rStyle w:val="FootnoteReference"/>
          <w:color w:val="000000" w:themeColor="text1"/>
        </w:rPr>
        <w:footnoteReference w:id="59"/>
      </w:r>
      <w:r w:rsidRPr="00B80AAA">
        <w:rPr>
          <w:color w:val="000000" w:themeColor="text1"/>
        </w:rPr>
        <w:t xml:space="preserve"> of the </w:t>
      </w:r>
      <w:r w:rsidRPr="00B80AAA">
        <w:rPr>
          <w:i/>
          <w:color w:val="000000" w:themeColor="text1"/>
        </w:rPr>
        <w:t>ACHR</w:t>
      </w:r>
      <w:r w:rsidRPr="00B80AAA">
        <w:rPr>
          <w:color w:val="000000" w:themeColor="text1"/>
        </w:rPr>
        <w:t xml:space="preserve"> Santa Clara authorises the Court to adjudicate on all matters concerning the application and interpretation of the </w:t>
      </w:r>
      <w:r w:rsidRPr="00B80AAA">
        <w:rPr>
          <w:i/>
          <w:color w:val="000000" w:themeColor="text1"/>
        </w:rPr>
        <w:t>Convention</w:t>
      </w:r>
      <w:r w:rsidRPr="00B80AAA">
        <w:rPr>
          <w:color w:val="000000" w:themeColor="text1"/>
        </w:rPr>
        <w:t>.</w:t>
      </w:r>
    </w:p>
    <w:p w:rsidR="00C74A5E" w:rsidRPr="00B80AAA" w:rsidRDefault="00C74A5E" w:rsidP="00B80AAA">
      <w:pPr>
        <w:pStyle w:val="Heading2"/>
        <w:spacing w:line="480" w:lineRule="auto"/>
        <w:jc w:val="both"/>
        <w:rPr>
          <w:rFonts w:ascii="Times New Roman" w:hAnsi="Times New Roman" w:cs="Times New Roman"/>
          <w:color w:val="000000" w:themeColor="text1"/>
          <w:sz w:val="24"/>
          <w:szCs w:val="24"/>
        </w:rPr>
      </w:pPr>
      <w:bookmarkStart w:id="24" w:name="_Toc440050271"/>
      <w:bookmarkStart w:id="25" w:name="_Toc441798773"/>
      <w:bookmarkStart w:id="26" w:name="_Toc446831628"/>
      <w:r w:rsidRPr="00B80AAA">
        <w:rPr>
          <w:rFonts w:ascii="Times New Roman" w:hAnsi="Times New Roman" w:cs="Times New Roman"/>
          <w:color w:val="000000" w:themeColor="text1"/>
          <w:sz w:val="24"/>
          <w:szCs w:val="24"/>
        </w:rPr>
        <w:lastRenderedPageBreak/>
        <w:t>3.2 Admissibility</w:t>
      </w:r>
      <w:bookmarkEnd w:id="24"/>
      <w:bookmarkEnd w:id="25"/>
      <w:bookmarkEnd w:id="26"/>
    </w:p>
    <w:p w:rsidR="00C74A5E" w:rsidRPr="00B80AAA" w:rsidRDefault="00C74A5E" w:rsidP="00B80AAA">
      <w:pPr>
        <w:pStyle w:val="Heading3"/>
        <w:spacing w:line="480" w:lineRule="auto"/>
        <w:jc w:val="both"/>
        <w:rPr>
          <w:rFonts w:ascii="Times New Roman" w:hAnsi="Times New Roman" w:cs="Times New Roman"/>
          <w:i/>
          <w:color w:val="000000" w:themeColor="text1"/>
        </w:rPr>
      </w:pPr>
      <w:bookmarkStart w:id="27" w:name="_Toc440050272"/>
      <w:bookmarkStart w:id="28" w:name="_Toc441798774"/>
      <w:bookmarkStart w:id="29" w:name="_Toc446831629"/>
      <w:r w:rsidRPr="00B80AAA">
        <w:rPr>
          <w:rStyle w:val="Heading3Char"/>
          <w:rFonts w:ascii="Times New Roman" w:hAnsi="Times New Roman" w:cs="Times New Roman"/>
          <w:b/>
          <w:bCs/>
          <w:i/>
          <w:color w:val="000000" w:themeColor="text1"/>
        </w:rPr>
        <w:t>3.2.1 Preliminary objection of alleged lack of territorial jurisdiction of the Inter-American</w:t>
      </w:r>
      <w:r w:rsidRPr="00B80AAA">
        <w:rPr>
          <w:rFonts w:ascii="Times New Roman" w:hAnsi="Times New Roman" w:cs="Times New Roman"/>
          <w:b w:val="0"/>
          <w:i/>
          <w:color w:val="000000" w:themeColor="text1"/>
        </w:rPr>
        <w:t xml:space="preserve"> </w:t>
      </w:r>
      <w:r w:rsidR="00E72E84" w:rsidRPr="00B80AAA">
        <w:rPr>
          <w:rStyle w:val="Heading3Char"/>
          <w:rFonts w:ascii="Times New Roman" w:hAnsi="Times New Roman" w:cs="Times New Roman"/>
          <w:b/>
          <w:bCs/>
          <w:i/>
          <w:color w:val="000000" w:themeColor="text1"/>
        </w:rPr>
        <w:t>Commission</w:t>
      </w:r>
      <w:r w:rsidRPr="00B80AAA">
        <w:rPr>
          <w:rStyle w:val="Heading3Char"/>
          <w:rFonts w:ascii="Times New Roman" w:hAnsi="Times New Roman" w:cs="Times New Roman"/>
          <w:b/>
          <w:bCs/>
          <w:i/>
          <w:color w:val="000000" w:themeColor="text1"/>
        </w:rPr>
        <w:t xml:space="preserve"> in relation to events that took place in Madruga</w:t>
      </w:r>
      <w:bookmarkEnd w:id="27"/>
      <w:bookmarkEnd w:id="28"/>
      <w:bookmarkEnd w:id="29"/>
    </w:p>
    <w:p w:rsidR="00B81365" w:rsidRPr="00B80AAA" w:rsidRDefault="00B81365" w:rsidP="00B80AAA">
      <w:pPr>
        <w:pStyle w:val="NormalWeb"/>
        <w:spacing w:before="0" w:beforeAutospacing="0" w:after="0" w:afterAutospacing="0" w:line="480" w:lineRule="auto"/>
        <w:jc w:val="both"/>
        <w:rPr>
          <w:color w:val="000000" w:themeColor="text1"/>
        </w:rPr>
      </w:pPr>
      <w:r w:rsidRPr="00B80AAA">
        <w:rPr>
          <w:color w:val="000000" w:themeColor="text1"/>
        </w:rPr>
        <w:t xml:space="preserve">Article 45 of the </w:t>
      </w:r>
      <w:r w:rsidRPr="00B80AAA">
        <w:rPr>
          <w:i/>
          <w:color w:val="000000" w:themeColor="text1"/>
        </w:rPr>
        <w:t>ACHR</w:t>
      </w:r>
      <w:r w:rsidRPr="00B80AAA">
        <w:rPr>
          <w:rStyle w:val="FootnoteReference"/>
          <w:i/>
          <w:color w:val="000000" w:themeColor="text1"/>
        </w:rPr>
        <w:footnoteReference w:id="60"/>
      </w:r>
      <w:r w:rsidRPr="00B80AAA">
        <w:rPr>
          <w:i/>
          <w:color w:val="000000" w:themeColor="text1"/>
        </w:rPr>
        <w:t xml:space="preserve"> </w:t>
      </w:r>
      <w:r w:rsidRPr="00B80AAA">
        <w:rPr>
          <w:color w:val="000000" w:themeColor="text1"/>
        </w:rPr>
        <w:t xml:space="preserve">grants the Commission jurisdiction on all matters relating to the interpretation of the </w:t>
      </w:r>
      <w:r w:rsidRPr="00B80AAA">
        <w:rPr>
          <w:i/>
          <w:color w:val="000000" w:themeColor="text1"/>
        </w:rPr>
        <w:t>Convention</w:t>
      </w:r>
      <w:r w:rsidRPr="00B80AAA">
        <w:rPr>
          <w:color w:val="000000" w:themeColor="text1"/>
        </w:rPr>
        <w:t>. However, in its arguments, Santa Clara asserted that the Inter-American Commission of Human Rights lacked territorial jurisdiction with respect to the events that took place in Madruga.</w:t>
      </w:r>
      <w:r w:rsidRPr="00B80AAA">
        <w:rPr>
          <w:rStyle w:val="FootnoteReference"/>
          <w:color w:val="000000" w:themeColor="text1"/>
        </w:rPr>
        <w:footnoteReference w:id="61"/>
      </w:r>
      <w:r w:rsidRPr="00B80AAA">
        <w:rPr>
          <w:color w:val="000000" w:themeColor="text1"/>
        </w:rPr>
        <w:t xml:space="preserve"> The Commission through the </w:t>
      </w:r>
      <w:r w:rsidR="00AE67B6" w:rsidRPr="00B80AAA">
        <w:rPr>
          <w:i/>
          <w:color w:val="000000" w:themeColor="text1"/>
        </w:rPr>
        <w:t>Victor Saldañ</w:t>
      </w:r>
      <w:r w:rsidR="006A285D" w:rsidRPr="00B80AAA">
        <w:rPr>
          <w:i/>
          <w:color w:val="000000" w:themeColor="text1"/>
        </w:rPr>
        <w:t>o v</w:t>
      </w:r>
      <w:r w:rsidR="005E553E" w:rsidRPr="00B80AAA">
        <w:rPr>
          <w:i/>
          <w:color w:val="000000" w:themeColor="text1"/>
        </w:rPr>
        <w:t>.</w:t>
      </w:r>
      <w:r w:rsidR="006A285D" w:rsidRPr="00B80AAA">
        <w:rPr>
          <w:i/>
          <w:color w:val="000000" w:themeColor="text1"/>
        </w:rPr>
        <w:t xml:space="preserve"> Argentina</w:t>
      </w:r>
      <w:r w:rsidR="00A60E6F" w:rsidRPr="00B80AAA">
        <w:rPr>
          <w:rStyle w:val="FootnoteReference"/>
          <w:i/>
          <w:color w:val="000000" w:themeColor="text1"/>
        </w:rPr>
        <w:footnoteReference w:id="62"/>
      </w:r>
      <w:r w:rsidR="006A285D" w:rsidRPr="00B80AAA">
        <w:rPr>
          <w:color w:val="000000" w:themeColor="text1"/>
        </w:rPr>
        <w:t xml:space="preserve"> and </w:t>
      </w:r>
      <w:r w:rsidRPr="00B80AAA">
        <w:rPr>
          <w:i/>
          <w:color w:val="000000" w:themeColor="text1"/>
        </w:rPr>
        <w:t>US Interdiction of Haitians on the High Seas</w:t>
      </w:r>
      <w:r w:rsidRPr="00B80AAA">
        <w:rPr>
          <w:rStyle w:val="FootnoteReference"/>
          <w:i/>
          <w:color w:val="000000" w:themeColor="text1"/>
        </w:rPr>
        <w:footnoteReference w:id="63"/>
      </w:r>
      <w:r w:rsidR="004879A9" w:rsidRPr="00B80AAA">
        <w:rPr>
          <w:color w:val="000000" w:themeColor="text1"/>
        </w:rPr>
        <w:t>cases</w:t>
      </w:r>
      <w:r w:rsidRPr="00B80AAA">
        <w:rPr>
          <w:i/>
          <w:color w:val="000000" w:themeColor="text1"/>
        </w:rPr>
        <w:t xml:space="preserve"> </w:t>
      </w:r>
      <w:r w:rsidR="006A285D" w:rsidRPr="00B80AAA">
        <w:rPr>
          <w:color w:val="000000" w:themeColor="text1"/>
        </w:rPr>
        <w:t>reiterate</w:t>
      </w:r>
      <w:r w:rsidR="00C76BF8" w:rsidRPr="00B80AAA">
        <w:rPr>
          <w:color w:val="000000" w:themeColor="text1"/>
        </w:rPr>
        <w:t>s</w:t>
      </w:r>
      <w:r w:rsidRPr="00B80AAA">
        <w:rPr>
          <w:color w:val="000000" w:themeColor="text1"/>
        </w:rPr>
        <w:t xml:space="preserve"> that State Parties to the </w:t>
      </w:r>
      <w:r w:rsidRPr="00B80AAA">
        <w:rPr>
          <w:i/>
          <w:color w:val="000000" w:themeColor="text1"/>
        </w:rPr>
        <w:t xml:space="preserve">Convention </w:t>
      </w:r>
      <w:r w:rsidRPr="00B80AAA">
        <w:rPr>
          <w:color w:val="000000" w:themeColor="text1"/>
        </w:rPr>
        <w:t>are obligated to respect and guarantee the rights enshrined to all persons whether within the State’s territory or</w:t>
      </w:r>
      <w:r w:rsidR="006A285D" w:rsidRPr="00B80AAA">
        <w:rPr>
          <w:color w:val="000000" w:themeColor="text1"/>
        </w:rPr>
        <w:t xml:space="preserve"> extraterritorially</w:t>
      </w:r>
      <w:r w:rsidRPr="00B80AAA">
        <w:rPr>
          <w:color w:val="000000" w:themeColor="text1"/>
        </w:rPr>
        <w:t xml:space="preserve">. </w:t>
      </w:r>
    </w:p>
    <w:p w:rsidR="006A285D" w:rsidRPr="00B80AAA" w:rsidRDefault="006A285D" w:rsidP="00B80AAA">
      <w:pPr>
        <w:pStyle w:val="NormalWeb"/>
        <w:spacing w:before="0" w:beforeAutospacing="0" w:after="0" w:afterAutospacing="0" w:line="480" w:lineRule="auto"/>
        <w:jc w:val="both"/>
        <w:rPr>
          <w:color w:val="000000" w:themeColor="text1"/>
        </w:rPr>
      </w:pPr>
      <w:r w:rsidRPr="00B80AAA">
        <w:rPr>
          <w:color w:val="000000" w:themeColor="text1"/>
        </w:rPr>
        <w:t xml:space="preserve">In the </w:t>
      </w:r>
      <w:r w:rsidR="00AE67B6" w:rsidRPr="00B80AAA">
        <w:rPr>
          <w:i/>
          <w:color w:val="000000" w:themeColor="text1"/>
        </w:rPr>
        <w:t>Victor Saldañ</w:t>
      </w:r>
      <w:r w:rsidRPr="00B80AAA">
        <w:rPr>
          <w:i/>
          <w:color w:val="000000" w:themeColor="text1"/>
        </w:rPr>
        <w:t>o v</w:t>
      </w:r>
      <w:r w:rsidR="005E553E" w:rsidRPr="00B80AAA">
        <w:rPr>
          <w:i/>
          <w:color w:val="000000" w:themeColor="text1"/>
        </w:rPr>
        <w:t>.</w:t>
      </w:r>
      <w:r w:rsidRPr="00B80AAA">
        <w:rPr>
          <w:i/>
          <w:color w:val="000000" w:themeColor="text1"/>
        </w:rPr>
        <w:t xml:space="preserve"> Argentina</w:t>
      </w:r>
      <w:r w:rsidRPr="00B80AAA">
        <w:rPr>
          <w:color w:val="000000" w:themeColor="text1"/>
        </w:rPr>
        <w:t xml:space="preserve"> case, the Commission found that “jurisdiction” within Article 1(1) of the </w:t>
      </w:r>
      <w:r w:rsidRPr="00B80AAA">
        <w:rPr>
          <w:i/>
          <w:color w:val="000000" w:themeColor="text1"/>
        </w:rPr>
        <w:t>ACHR</w:t>
      </w:r>
      <w:r w:rsidRPr="00B80AAA">
        <w:rPr>
          <w:color w:val="000000" w:themeColor="text1"/>
        </w:rPr>
        <w:t xml:space="preserve"> was not limited to national territory and could be extraterritorially applied. This meant that </w:t>
      </w:r>
      <w:r w:rsidR="00C76BF8" w:rsidRPr="00B80AAA">
        <w:rPr>
          <w:color w:val="000000" w:themeColor="text1"/>
        </w:rPr>
        <w:t>under “certain circumstances a State P</w:t>
      </w:r>
      <w:r w:rsidRPr="00B80AAA">
        <w:rPr>
          <w:color w:val="000000" w:themeColor="text1"/>
        </w:rPr>
        <w:t>arty could be responsible for the acts and omissions of its agents which produced effects extraterritorially.”</w:t>
      </w:r>
      <w:r w:rsidRPr="00B80AAA">
        <w:rPr>
          <w:rStyle w:val="FootnoteReference"/>
          <w:color w:val="000000" w:themeColor="text1"/>
        </w:rPr>
        <w:footnoteReference w:id="64"/>
      </w:r>
      <w:r w:rsidR="00395700" w:rsidRPr="00B80AAA">
        <w:rPr>
          <w:color w:val="000000" w:themeColor="text1"/>
        </w:rPr>
        <w:t xml:space="preserve"> The Commission also recognised that Article 1 of the </w:t>
      </w:r>
      <w:r w:rsidR="00395700" w:rsidRPr="00B80AAA">
        <w:rPr>
          <w:i/>
          <w:color w:val="000000" w:themeColor="text1"/>
        </w:rPr>
        <w:t>ACHR</w:t>
      </w:r>
      <w:r w:rsidR="00395700" w:rsidRPr="00B80AAA">
        <w:rPr>
          <w:color w:val="000000" w:themeColor="text1"/>
        </w:rPr>
        <w:t xml:space="preserve"> was largely patterned after Article 1 of the European Convention</w:t>
      </w:r>
      <w:r w:rsidR="007F53DE" w:rsidRPr="00B80AAA">
        <w:rPr>
          <w:color w:val="000000" w:themeColor="text1"/>
        </w:rPr>
        <w:t xml:space="preserve"> on Human Rights</w:t>
      </w:r>
      <w:r w:rsidR="00395700" w:rsidRPr="00B80AAA">
        <w:rPr>
          <w:color w:val="000000" w:themeColor="text1"/>
        </w:rPr>
        <w:t xml:space="preserve"> which interpreted “jurisdiction” extraterritorially.</w:t>
      </w:r>
      <w:r w:rsidR="00395700" w:rsidRPr="00B80AAA">
        <w:rPr>
          <w:rStyle w:val="FootnoteReference"/>
          <w:color w:val="000000" w:themeColor="text1"/>
        </w:rPr>
        <w:footnoteReference w:id="65"/>
      </w:r>
      <w:r w:rsidRPr="00B80AAA">
        <w:rPr>
          <w:color w:val="000000" w:themeColor="text1"/>
        </w:rPr>
        <w:t xml:space="preserve"> </w:t>
      </w:r>
      <w:r w:rsidR="00395700" w:rsidRPr="00B80AAA">
        <w:rPr>
          <w:color w:val="000000" w:themeColor="text1"/>
        </w:rPr>
        <w:t>I</w:t>
      </w:r>
      <w:r w:rsidRPr="00B80AAA">
        <w:rPr>
          <w:color w:val="000000" w:themeColor="text1"/>
        </w:rPr>
        <w:t xml:space="preserve">n the </w:t>
      </w:r>
      <w:r w:rsidRPr="00B80AAA">
        <w:rPr>
          <w:i/>
          <w:color w:val="000000" w:themeColor="text1"/>
        </w:rPr>
        <w:t xml:space="preserve">US </w:t>
      </w:r>
      <w:r w:rsidRPr="00B80AAA">
        <w:rPr>
          <w:i/>
          <w:color w:val="000000" w:themeColor="text1"/>
        </w:rPr>
        <w:lastRenderedPageBreak/>
        <w:t>Interdiction of Haitians on the High Seas</w:t>
      </w:r>
      <w:r w:rsidRPr="00B80AAA">
        <w:rPr>
          <w:rStyle w:val="FootnoteReference"/>
          <w:i/>
          <w:color w:val="000000" w:themeColor="text1"/>
        </w:rPr>
        <w:footnoteReference w:id="66"/>
      </w:r>
      <w:r w:rsidRPr="00B80AAA">
        <w:rPr>
          <w:i/>
          <w:color w:val="000000" w:themeColor="text1"/>
        </w:rPr>
        <w:t xml:space="preserve"> </w:t>
      </w:r>
      <w:r w:rsidRPr="00B80AAA">
        <w:rPr>
          <w:color w:val="000000" w:themeColor="text1"/>
        </w:rPr>
        <w:t xml:space="preserve">case </w:t>
      </w:r>
      <w:r w:rsidR="00395700" w:rsidRPr="00B80AAA">
        <w:rPr>
          <w:color w:val="000000" w:themeColor="text1"/>
        </w:rPr>
        <w:t xml:space="preserve">the Commission </w:t>
      </w:r>
      <w:r w:rsidRPr="00B80AAA">
        <w:rPr>
          <w:color w:val="000000" w:themeColor="text1"/>
        </w:rPr>
        <w:t xml:space="preserve">further explained that the </w:t>
      </w:r>
      <w:r w:rsidRPr="00B80AAA">
        <w:rPr>
          <w:i/>
          <w:color w:val="000000" w:themeColor="text1"/>
        </w:rPr>
        <w:t>ACHR</w:t>
      </w:r>
      <w:r w:rsidRPr="00B80AAA">
        <w:rPr>
          <w:color w:val="000000" w:themeColor="text1"/>
        </w:rPr>
        <w:t xml:space="preserve"> could </w:t>
      </w:r>
      <w:r w:rsidR="00321100" w:rsidRPr="00B80AAA">
        <w:rPr>
          <w:color w:val="000000" w:themeColor="text1"/>
        </w:rPr>
        <w:t xml:space="preserve">only </w:t>
      </w:r>
      <w:r w:rsidRPr="00B80AAA">
        <w:rPr>
          <w:color w:val="000000" w:themeColor="text1"/>
        </w:rPr>
        <w:t>be</w:t>
      </w:r>
      <w:r w:rsidR="00321100" w:rsidRPr="00B80AAA">
        <w:rPr>
          <w:color w:val="000000" w:themeColor="text1"/>
        </w:rPr>
        <w:t xml:space="preserve"> applied</w:t>
      </w:r>
      <w:r w:rsidRPr="00B80AAA">
        <w:rPr>
          <w:color w:val="000000" w:themeColor="text1"/>
        </w:rPr>
        <w:t xml:space="preserve"> extraterrit</w:t>
      </w:r>
      <w:r w:rsidR="00321100" w:rsidRPr="00B80AAA">
        <w:rPr>
          <w:color w:val="000000" w:themeColor="text1"/>
        </w:rPr>
        <w:t>orially</w:t>
      </w:r>
      <w:r w:rsidRPr="00B80AAA">
        <w:rPr>
          <w:color w:val="000000" w:themeColor="text1"/>
        </w:rPr>
        <w:t xml:space="preserve"> </w:t>
      </w:r>
      <w:r w:rsidR="00321100" w:rsidRPr="00B80AAA">
        <w:rPr>
          <w:color w:val="000000" w:themeColor="text1"/>
        </w:rPr>
        <w:t xml:space="preserve">if there was a </w:t>
      </w:r>
      <w:r w:rsidRPr="00B80AAA">
        <w:rPr>
          <w:color w:val="000000" w:themeColor="text1"/>
        </w:rPr>
        <w:t>“foreseeable risk of death.”</w:t>
      </w:r>
      <w:r w:rsidRPr="00B80AAA">
        <w:rPr>
          <w:rStyle w:val="FootnoteReference"/>
          <w:color w:val="000000" w:themeColor="text1"/>
        </w:rPr>
        <w:footnoteReference w:id="67"/>
      </w:r>
      <w:r w:rsidRPr="00B80AAA">
        <w:rPr>
          <w:color w:val="000000" w:themeColor="text1"/>
        </w:rPr>
        <w:t xml:space="preserve"> </w:t>
      </w:r>
    </w:p>
    <w:p w:rsidR="00C74A5E" w:rsidRPr="00B80AAA" w:rsidRDefault="00B81365" w:rsidP="00B80AAA">
      <w:pPr>
        <w:autoSpaceDE w:val="0"/>
        <w:autoSpaceDN w:val="0"/>
        <w:adjustRightInd w:val="0"/>
        <w:spacing w:after="0" w:line="480" w:lineRule="auto"/>
        <w:jc w:val="both"/>
        <w:rPr>
          <w:color w:val="000000" w:themeColor="text1"/>
        </w:rPr>
      </w:pPr>
      <w:r w:rsidRPr="00B80AAA">
        <w:rPr>
          <w:color w:val="000000" w:themeColor="text1"/>
        </w:rPr>
        <w:t xml:space="preserve">In this present case, </w:t>
      </w:r>
      <w:r w:rsidR="00321100" w:rsidRPr="00B80AAA">
        <w:rPr>
          <w:color w:val="000000" w:themeColor="text1"/>
        </w:rPr>
        <w:t xml:space="preserve">the Commission has the competence and </w:t>
      </w:r>
      <w:r w:rsidR="004879A9" w:rsidRPr="00B80AAA">
        <w:rPr>
          <w:color w:val="000000" w:themeColor="text1"/>
        </w:rPr>
        <w:t xml:space="preserve">the </w:t>
      </w:r>
      <w:r w:rsidR="00321100" w:rsidRPr="00B80AAA">
        <w:rPr>
          <w:color w:val="000000" w:themeColor="text1"/>
        </w:rPr>
        <w:t>requisite extraterritorial jurisdiction to hear the case</w:t>
      </w:r>
      <w:r w:rsidR="002A073D" w:rsidRPr="00B80AAA">
        <w:rPr>
          <w:color w:val="000000" w:themeColor="text1"/>
        </w:rPr>
        <w:t>,</w:t>
      </w:r>
      <w:r w:rsidR="00321100" w:rsidRPr="00B80AAA">
        <w:rPr>
          <w:color w:val="000000" w:themeColor="text1"/>
        </w:rPr>
        <w:t xml:space="preserve"> as Santa Clara</w:t>
      </w:r>
      <w:r w:rsidR="004879A9" w:rsidRPr="00B80AAA">
        <w:rPr>
          <w:color w:val="000000" w:themeColor="text1"/>
        </w:rPr>
        <w:t>,</w:t>
      </w:r>
      <w:r w:rsidR="00321100" w:rsidRPr="00B80AAA">
        <w:rPr>
          <w:color w:val="000000" w:themeColor="text1"/>
        </w:rPr>
        <w:t xml:space="preserve"> </w:t>
      </w:r>
      <w:r w:rsidRPr="00B80AAA">
        <w:rPr>
          <w:color w:val="000000" w:themeColor="text1"/>
        </w:rPr>
        <w:t xml:space="preserve">a </w:t>
      </w:r>
      <w:r w:rsidR="00321100" w:rsidRPr="00B80AAA">
        <w:rPr>
          <w:color w:val="000000" w:themeColor="text1"/>
        </w:rPr>
        <w:t>State P</w:t>
      </w:r>
      <w:r w:rsidRPr="00B80AAA">
        <w:rPr>
          <w:color w:val="000000" w:themeColor="text1"/>
        </w:rPr>
        <w:t xml:space="preserve">arty to the </w:t>
      </w:r>
      <w:r w:rsidR="00321100" w:rsidRPr="00B80AAA">
        <w:rPr>
          <w:i/>
          <w:color w:val="000000" w:themeColor="text1"/>
        </w:rPr>
        <w:t xml:space="preserve">ACHR, </w:t>
      </w:r>
      <w:r w:rsidR="00321100" w:rsidRPr="00B80AAA">
        <w:rPr>
          <w:color w:val="000000" w:themeColor="text1"/>
        </w:rPr>
        <w:t>facilitated a</w:t>
      </w:r>
      <w:r w:rsidR="00321100" w:rsidRPr="00B80AAA">
        <w:rPr>
          <w:i/>
          <w:color w:val="000000" w:themeColor="text1"/>
        </w:rPr>
        <w:t xml:space="preserve"> “</w:t>
      </w:r>
      <w:r w:rsidR="00321100" w:rsidRPr="00B80AAA">
        <w:rPr>
          <w:color w:val="000000" w:themeColor="text1"/>
        </w:rPr>
        <w:t>foreseeable risk of death</w:t>
      </w:r>
      <w:r w:rsidR="00321100" w:rsidRPr="00B80AAA">
        <w:rPr>
          <w:i/>
          <w:color w:val="000000" w:themeColor="text1"/>
        </w:rPr>
        <w:t xml:space="preserve">” </w:t>
      </w:r>
      <w:r w:rsidR="00321100" w:rsidRPr="00B80AAA">
        <w:rPr>
          <w:color w:val="000000" w:themeColor="text1"/>
        </w:rPr>
        <w:t>in Northern Madruga.</w:t>
      </w:r>
      <w:r w:rsidR="00C74A5E" w:rsidRPr="00B80AAA">
        <w:rPr>
          <w:color w:val="000000" w:themeColor="text1"/>
        </w:rPr>
        <w:t xml:space="preserve"> </w:t>
      </w:r>
    </w:p>
    <w:p w:rsidR="00C74A5E" w:rsidRPr="00B80AAA" w:rsidRDefault="00C74A5E" w:rsidP="00B80AAA">
      <w:pPr>
        <w:pStyle w:val="Heading2"/>
        <w:spacing w:line="480" w:lineRule="auto"/>
        <w:jc w:val="both"/>
        <w:rPr>
          <w:rFonts w:ascii="Times New Roman" w:hAnsi="Times New Roman" w:cs="Times New Roman"/>
          <w:i/>
          <w:color w:val="000000" w:themeColor="text1"/>
          <w:sz w:val="24"/>
          <w:szCs w:val="24"/>
        </w:rPr>
      </w:pPr>
      <w:bookmarkStart w:id="30" w:name="_Toc440050273"/>
      <w:bookmarkStart w:id="31" w:name="_Toc440366948"/>
      <w:bookmarkStart w:id="32" w:name="_Toc446831630"/>
      <w:r w:rsidRPr="00B80AAA">
        <w:rPr>
          <w:rFonts w:ascii="Times New Roman" w:hAnsi="Times New Roman" w:cs="Times New Roman"/>
          <w:i/>
          <w:color w:val="000000" w:themeColor="text1"/>
          <w:sz w:val="24"/>
          <w:szCs w:val="24"/>
        </w:rPr>
        <w:t>3.2.2 The</w:t>
      </w:r>
      <w:r w:rsidR="00614341" w:rsidRPr="00B80AAA">
        <w:rPr>
          <w:rFonts w:ascii="Times New Roman" w:hAnsi="Times New Roman" w:cs="Times New Roman"/>
          <w:i/>
          <w:color w:val="000000" w:themeColor="text1"/>
          <w:sz w:val="24"/>
          <w:szCs w:val="24"/>
        </w:rPr>
        <w:t xml:space="preserve"> </w:t>
      </w:r>
      <w:r w:rsidR="005D7630" w:rsidRPr="00B80AAA">
        <w:rPr>
          <w:rFonts w:ascii="Times New Roman" w:hAnsi="Times New Roman" w:cs="Times New Roman"/>
          <w:i/>
          <w:color w:val="000000" w:themeColor="text1"/>
          <w:sz w:val="24"/>
          <w:szCs w:val="24"/>
        </w:rPr>
        <w:t xml:space="preserve">Exhaustion of </w:t>
      </w:r>
      <w:r w:rsidRPr="00B80AAA">
        <w:rPr>
          <w:rFonts w:ascii="Times New Roman" w:hAnsi="Times New Roman" w:cs="Times New Roman"/>
          <w:i/>
          <w:color w:val="000000" w:themeColor="text1"/>
          <w:sz w:val="24"/>
          <w:szCs w:val="24"/>
        </w:rPr>
        <w:t>domestic remedies</w:t>
      </w:r>
      <w:bookmarkEnd w:id="30"/>
      <w:bookmarkEnd w:id="31"/>
      <w:r w:rsidR="005D7630" w:rsidRPr="00B80AAA">
        <w:rPr>
          <w:rFonts w:ascii="Times New Roman" w:hAnsi="Times New Roman" w:cs="Times New Roman"/>
          <w:i/>
          <w:color w:val="000000" w:themeColor="text1"/>
          <w:sz w:val="24"/>
          <w:szCs w:val="24"/>
        </w:rPr>
        <w:t xml:space="preserve"> by the Representatives of the Victims</w:t>
      </w:r>
      <w:bookmarkEnd w:id="32"/>
    </w:p>
    <w:p w:rsidR="00AE67B6" w:rsidRPr="00B80AAA" w:rsidRDefault="00C74A5E" w:rsidP="00B80AAA">
      <w:pPr>
        <w:spacing w:line="480" w:lineRule="auto"/>
        <w:jc w:val="both"/>
        <w:rPr>
          <w:color w:val="000000" w:themeColor="text1"/>
        </w:rPr>
      </w:pPr>
      <w:r w:rsidRPr="00B80AAA">
        <w:rPr>
          <w:color w:val="000000" w:themeColor="text1"/>
        </w:rPr>
        <w:t xml:space="preserve">Pursuant to both Article 46(1) of the </w:t>
      </w:r>
      <w:r w:rsidRPr="00B80AAA">
        <w:rPr>
          <w:i/>
          <w:color w:val="000000" w:themeColor="text1"/>
        </w:rPr>
        <w:t>Convention</w:t>
      </w:r>
      <w:r w:rsidRPr="00B80AAA">
        <w:rPr>
          <w:color w:val="000000" w:themeColor="text1"/>
        </w:rPr>
        <w:t xml:space="preserve"> and the </w:t>
      </w:r>
      <w:r w:rsidRPr="00B80AAA">
        <w:rPr>
          <w:i/>
          <w:color w:val="000000" w:themeColor="text1"/>
        </w:rPr>
        <w:t>Commission’s Statute</w:t>
      </w:r>
      <w:r w:rsidRPr="00B80AAA">
        <w:rPr>
          <w:color w:val="000000" w:themeColor="text1"/>
          <w:vertAlign w:val="superscript"/>
        </w:rPr>
        <w:footnoteReference w:id="68"/>
      </w:r>
      <w:r w:rsidR="00C94FF8" w:rsidRPr="00B80AAA">
        <w:rPr>
          <w:color w:val="000000" w:themeColor="text1"/>
        </w:rPr>
        <w:t xml:space="preserve"> in the Inter-American System, P</w:t>
      </w:r>
      <w:r w:rsidRPr="00B80AAA">
        <w:rPr>
          <w:color w:val="000000" w:themeColor="text1"/>
        </w:rPr>
        <w:t>etitioners are required to ensure that their petition</w:t>
      </w:r>
      <w:r w:rsidR="00321100" w:rsidRPr="00B80AAA">
        <w:rPr>
          <w:color w:val="000000" w:themeColor="text1"/>
        </w:rPr>
        <w:t>s</w:t>
      </w:r>
      <w:r w:rsidRPr="00B80AAA">
        <w:rPr>
          <w:color w:val="000000" w:themeColor="text1"/>
        </w:rPr>
        <w:t xml:space="preserve"> </w:t>
      </w:r>
      <w:r w:rsidR="00321100" w:rsidRPr="00B80AAA">
        <w:rPr>
          <w:color w:val="000000" w:themeColor="text1"/>
        </w:rPr>
        <w:t xml:space="preserve">are </w:t>
      </w:r>
      <w:r w:rsidRPr="00B80AAA">
        <w:rPr>
          <w:color w:val="000000" w:themeColor="text1"/>
        </w:rPr>
        <w:t xml:space="preserve">admissible. </w:t>
      </w:r>
      <w:r w:rsidR="00321100" w:rsidRPr="00B80AAA">
        <w:rPr>
          <w:color w:val="000000" w:themeColor="text1"/>
        </w:rPr>
        <w:t xml:space="preserve">This means that </w:t>
      </w:r>
      <w:r w:rsidRPr="00B80AAA">
        <w:rPr>
          <w:color w:val="000000" w:themeColor="text1"/>
        </w:rPr>
        <w:t>remedies under domestic law should be pursued and exhausted in ac</w:t>
      </w:r>
      <w:r w:rsidR="00117D67" w:rsidRPr="00B80AAA">
        <w:rPr>
          <w:color w:val="000000" w:themeColor="text1"/>
        </w:rPr>
        <w:t>cordance with generally recognis</w:t>
      </w:r>
      <w:r w:rsidRPr="00B80AAA">
        <w:rPr>
          <w:color w:val="000000" w:themeColor="text1"/>
        </w:rPr>
        <w:t>ed principles of international law.</w:t>
      </w:r>
      <w:r w:rsidRPr="00B80AAA">
        <w:rPr>
          <w:color w:val="000000" w:themeColor="text1"/>
          <w:vertAlign w:val="superscript"/>
        </w:rPr>
        <w:footnoteReference w:id="69"/>
      </w:r>
      <w:r w:rsidRPr="00B80AAA">
        <w:rPr>
          <w:color w:val="000000" w:themeColor="text1"/>
        </w:rPr>
        <w:t xml:space="preserve"> </w:t>
      </w:r>
      <w:r w:rsidR="00321100" w:rsidRPr="00B80AAA">
        <w:rPr>
          <w:color w:val="000000" w:themeColor="text1"/>
        </w:rPr>
        <w:t>However Article 46(2)(a)</w:t>
      </w:r>
      <w:r w:rsidR="00A2297B" w:rsidRPr="00B80AAA">
        <w:rPr>
          <w:color w:val="000000" w:themeColor="text1"/>
        </w:rPr>
        <w:t xml:space="preserve"> of the </w:t>
      </w:r>
      <w:r w:rsidR="00A2297B" w:rsidRPr="00B80AAA">
        <w:rPr>
          <w:i/>
          <w:color w:val="000000" w:themeColor="text1"/>
        </w:rPr>
        <w:t>ACHR</w:t>
      </w:r>
      <w:r w:rsidR="00A2297B" w:rsidRPr="00B80AAA">
        <w:rPr>
          <w:color w:val="000000" w:themeColor="text1"/>
        </w:rPr>
        <w:t xml:space="preserve"> states</w:t>
      </w:r>
      <w:r w:rsidR="00321100" w:rsidRPr="00B80AAA">
        <w:rPr>
          <w:color w:val="000000" w:themeColor="text1"/>
        </w:rPr>
        <w:t xml:space="preserve"> </w:t>
      </w:r>
      <w:r w:rsidR="00123ACE" w:rsidRPr="00B80AAA">
        <w:rPr>
          <w:color w:val="000000" w:themeColor="text1"/>
        </w:rPr>
        <w:t>that domestic remedies need not be exhausted if domestic legislation does not afford due process of law for the p</w:t>
      </w:r>
      <w:r w:rsidR="00061F5E" w:rsidRPr="00B80AAA">
        <w:rPr>
          <w:color w:val="000000" w:themeColor="text1"/>
        </w:rPr>
        <w:t>rotection of the right violated.</w:t>
      </w:r>
      <w:r w:rsidR="00123ACE" w:rsidRPr="00B80AAA">
        <w:rPr>
          <w:rStyle w:val="FootnoteReference"/>
          <w:color w:val="000000" w:themeColor="text1"/>
        </w:rPr>
        <w:footnoteReference w:id="70"/>
      </w:r>
      <w:r w:rsidR="00123ACE" w:rsidRPr="00B80AAA">
        <w:rPr>
          <w:color w:val="000000" w:themeColor="text1"/>
        </w:rPr>
        <w:t xml:space="preserve"> This means that where there is no remedy for the alleged wrong or if the remedy does not function as it should, then there is no need to satisfy Article 46(1)(a).</w:t>
      </w:r>
      <w:r w:rsidR="00A2297B" w:rsidRPr="00B80AAA">
        <w:rPr>
          <w:rStyle w:val="FootnoteReference"/>
          <w:color w:val="000000" w:themeColor="text1"/>
        </w:rPr>
        <w:footnoteReference w:id="71"/>
      </w:r>
      <w:r w:rsidR="00123ACE" w:rsidRPr="00B80AAA">
        <w:rPr>
          <w:color w:val="000000" w:themeColor="text1"/>
        </w:rPr>
        <w:t xml:space="preserve"> </w:t>
      </w:r>
      <w:r w:rsidRPr="00B80AAA">
        <w:rPr>
          <w:color w:val="000000" w:themeColor="text1"/>
        </w:rPr>
        <w:t xml:space="preserve">In the present case, the </w:t>
      </w:r>
      <w:r w:rsidR="00123ACE" w:rsidRPr="00B80AAA">
        <w:rPr>
          <w:color w:val="000000" w:themeColor="text1"/>
        </w:rPr>
        <w:t xml:space="preserve">remedies given to the </w:t>
      </w:r>
      <w:r w:rsidRPr="00B80AAA">
        <w:rPr>
          <w:color w:val="000000" w:themeColor="text1"/>
        </w:rPr>
        <w:t>Camana Osorio family</w:t>
      </w:r>
      <w:r w:rsidR="00123ACE" w:rsidRPr="00B80AAA">
        <w:rPr>
          <w:color w:val="000000" w:themeColor="text1"/>
        </w:rPr>
        <w:t>,</w:t>
      </w:r>
      <w:r w:rsidR="00AE67B6" w:rsidRPr="00B80AAA">
        <w:rPr>
          <w:color w:val="000000" w:themeColor="text1"/>
        </w:rPr>
        <w:t xml:space="preserve"> the Pichicha people and the Orí</w:t>
      </w:r>
      <w:r w:rsidR="00123ACE" w:rsidRPr="00B80AAA">
        <w:rPr>
          <w:color w:val="000000" w:themeColor="text1"/>
        </w:rPr>
        <w:t>funa people did not function as they should</w:t>
      </w:r>
      <w:r w:rsidR="00AE67B6" w:rsidRPr="00B80AAA">
        <w:rPr>
          <w:color w:val="000000" w:themeColor="text1"/>
        </w:rPr>
        <w:t>,</w:t>
      </w:r>
      <w:r w:rsidR="00123ACE" w:rsidRPr="00B80AAA">
        <w:rPr>
          <w:color w:val="000000" w:themeColor="text1"/>
        </w:rPr>
        <w:t xml:space="preserve"> as they were inadequate and ineffective </w:t>
      </w:r>
      <w:r w:rsidR="00AE67B6" w:rsidRPr="00B80AAA">
        <w:rPr>
          <w:color w:val="000000" w:themeColor="text1"/>
        </w:rPr>
        <w:t>in keeping with the</w:t>
      </w:r>
      <w:r w:rsidR="006C108F" w:rsidRPr="00B80AAA">
        <w:rPr>
          <w:i/>
          <w:iCs/>
          <w:color w:val="000000" w:themeColor="text1"/>
        </w:rPr>
        <w:t xml:space="preserve"> </w:t>
      </w:r>
      <w:r w:rsidR="00C94FF8" w:rsidRPr="00B80AAA">
        <w:rPr>
          <w:i/>
          <w:iCs/>
          <w:color w:val="000000" w:themeColor="text1"/>
        </w:rPr>
        <w:t>Velásquez Rodríguez</w:t>
      </w:r>
      <w:r w:rsidR="006C108F" w:rsidRPr="00B80AAA">
        <w:rPr>
          <w:rStyle w:val="FootnoteReference"/>
          <w:i/>
          <w:color w:val="000000" w:themeColor="text1"/>
        </w:rPr>
        <w:footnoteReference w:id="72"/>
      </w:r>
      <w:r w:rsidR="00AE67B6" w:rsidRPr="00B80AAA">
        <w:rPr>
          <w:color w:val="000000" w:themeColor="text1"/>
        </w:rPr>
        <w:t xml:space="preserve"> case. </w:t>
      </w:r>
    </w:p>
    <w:p w:rsidR="007C0630" w:rsidRPr="00B80AAA" w:rsidRDefault="007C0630" w:rsidP="00B80AAA">
      <w:pPr>
        <w:spacing w:line="480" w:lineRule="auto"/>
        <w:jc w:val="both"/>
        <w:rPr>
          <w:color w:val="000000" w:themeColor="text1"/>
        </w:rPr>
      </w:pPr>
      <w:r w:rsidRPr="00B80AAA">
        <w:rPr>
          <w:color w:val="000000" w:themeColor="text1"/>
        </w:rPr>
        <w:lastRenderedPageBreak/>
        <w:t xml:space="preserve">In the </w:t>
      </w:r>
      <w:r w:rsidRPr="00B80AAA">
        <w:rPr>
          <w:i/>
          <w:iCs/>
          <w:color w:val="000000" w:themeColor="text1"/>
        </w:rPr>
        <w:t xml:space="preserve">Velásquez Rodríguez </w:t>
      </w:r>
      <w:r w:rsidRPr="00B80AAA">
        <w:rPr>
          <w:color w:val="000000" w:themeColor="text1"/>
        </w:rPr>
        <w:t>case, the Court determined that any remedy that did not suitably address the right infringed was inadequate.</w:t>
      </w:r>
      <w:r w:rsidRPr="00B80AAA">
        <w:rPr>
          <w:rStyle w:val="FootnoteReference"/>
          <w:color w:val="000000" w:themeColor="text1"/>
        </w:rPr>
        <w:footnoteReference w:id="73"/>
      </w:r>
      <w:r w:rsidRPr="00B80AAA">
        <w:rPr>
          <w:color w:val="000000" w:themeColor="text1"/>
        </w:rPr>
        <w:t xml:space="preserve"> It also determined that any remedy that was incapable of producing the result for which it was designed was ineffective.</w:t>
      </w:r>
      <w:r w:rsidRPr="00B80AAA">
        <w:rPr>
          <w:rStyle w:val="FootnoteReference"/>
          <w:color w:val="000000" w:themeColor="text1"/>
        </w:rPr>
        <w:footnoteReference w:id="74"/>
      </w:r>
      <w:r w:rsidRPr="00B80AAA">
        <w:rPr>
          <w:color w:val="000000" w:themeColor="text1"/>
        </w:rPr>
        <w:t xml:space="preserve"> In relation to the Camana Osorio family, Santa Clara’s lack of interest to effectively investigate,</w:t>
      </w:r>
      <w:r w:rsidRPr="00B80AAA">
        <w:rPr>
          <w:rStyle w:val="FootnoteReference"/>
          <w:color w:val="000000" w:themeColor="text1"/>
        </w:rPr>
        <w:footnoteReference w:id="75"/>
      </w:r>
      <w:r w:rsidRPr="00B80AAA">
        <w:rPr>
          <w:color w:val="000000" w:themeColor="text1"/>
        </w:rPr>
        <w:t xml:space="preserve"> shelved actions,</w:t>
      </w:r>
      <w:r w:rsidRPr="00B80AAA">
        <w:rPr>
          <w:rStyle w:val="FootnoteReference"/>
          <w:color w:val="000000" w:themeColor="text1"/>
        </w:rPr>
        <w:footnoteReference w:id="76"/>
      </w:r>
      <w:r w:rsidRPr="00B80AAA">
        <w:rPr>
          <w:color w:val="000000" w:themeColor="text1"/>
        </w:rPr>
        <w:t xml:space="preserve"> and the Camana Osorio family’s inability to invoke remedies normally available to others,</w:t>
      </w:r>
      <w:r w:rsidRPr="00B80AAA">
        <w:rPr>
          <w:rStyle w:val="FootnoteReference"/>
          <w:color w:val="000000" w:themeColor="text1"/>
        </w:rPr>
        <w:footnoteReference w:id="77"/>
      </w:r>
      <w:r w:rsidRPr="00B80AAA">
        <w:rPr>
          <w:color w:val="000000" w:themeColor="text1"/>
        </w:rPr>
        <w:t xml:space="preserve"> means that Article 46(2)(a) is applicable. </w:t>
      </w:r>
    </w:p>
    <w:p w:rsidR="007C0630" w:rsidRPr="00B80AAA" w:rsidRDefault="007C0630" w:rsidP="00B80AAA">
      <w:pPr>
        <w:spacing w:line="480" w:lineRule="auto"/>
        <w:jc w:val="both"/>
        <w:rPr>
          <w:color w:val="000000" w:themeColor="text1"/>
        </w:rPr>
      </w:pPr>
      <w:r w:rsidRPr="00B80AAA">
        <w:rPr>
          <w:color w:val="000000" w:themeColor="text1"/>
        </w:rPr>
        <w:t xml:space="preserve">Furthermore, according to Article 46(2)(c) of the </w:t>
      </w:r>
      <w:r w:rsidRPr="00B80AAA">
        <w:rPr>
          <w:i/>
          <w:color w:val="000000" w:themeColor="text1"/>
        </w:rPr>
        <w:t>ACHR</w:t>
      </w:r>
      <w:r w:rsidRPr="00B80AAA">
        <w:rPr>
          <w:color w:val="000000" w:themeColor="text1"/>
        </w:rPr>
        <w:t xml:space="preserve">, the Camana Osorio family need not exhaust domestic remedies if there was an unwarranted delay between the occurrence of the events and a final judgment being rendered. In the case of </w:t>
      </w:r>
      <w:r w:rsidR="00933AA1" w:rsidRPr="00B80AAA">
        <w:rPr>
          <w:i/>
          <w:color w:val="000000" w:themeColor="text1"/>
        </w:rPr>
        <w:t>Baldeón-Garcí</w:t>
      </w:r>
      <w:r w:rsidRPr="00B80AAA">
        <w:rPr>
          <w:i/>
          <w:color w:val="000000" w:themeColor="text1"/>
        </w:rPr>
        <w:t>a Cruz v</w:t>
      </w:r>
      <w:r w:rsidR="005E553E" w:rsidRPr="00B80AAA">
        <w:rPr>
          <w:i/>
          <w:color w:val="000000" w:themeColor="text1"/>
        </w:rPr>
        <w:t>.</w:t>
      </w:r>
      <w:r w:rsidR="00933AA1" w:rsidRPr="00B80AAA">
        <w:rPr>
          <w:i/>
          <w:color w:val="000000" w:themeColor="text1"/>
        </w:rPr>
        <w:t xml:space="preserve"> Perú</w:t>
      </w:r>
      <w:r w:rsidRPr="00B80AAA">
        <w:rPr>
          <w:color w:val="000000" w:themeColor="text1"/>
        </w:rPr>
        <w:t>,</w:t>
      </w:r>
      <w:r w:rsidR="004E22F0" w:rsidRPr="00B80AAA">
        <w:rPr>
          <w:rStyle w:val="FootnoteReference"/>
          <w:color w:val="000000" w:themeColor="text1"/>
        </w:rPr>
        <w:footnoteReference w:id="78"/>
      </w:r>
      <w:r w:rsidRPr="00B80AAA">
        <w:rPr>
          <w:color w:val="000000" w:themeColor="text1"/>
        </w:rPr>
        <w:t xml:space="preserve"> the Court found that a delay of 15 years between the occurrence of the events and judicial proceedings was unwarranted and unreasonable.</w:t>
      </w:r>
      <w:r w:rsidRPr="00B80AAA">
        <w:rPr>
          <w:rStyle w:val="FootnoteReference"/>
          <w:color w:val="000000" w:themeColor="text1"/>
        </w:rPr>
        <w:footnoteReference w:id="79"/>
      </w:r>
      <w:r w:rsidRPr="00B80AAA">
        <w:rPr>
          <w:color w:val="000000" w:themeColor="text1"/>
        </w:rPr>
        <w:t>In relation to Edmundo Camana, Teresa Osorio and their two c</w:t>
      </w:r>
      <w:r w:rsidR="00C11286" w:rsidRPr="00B80AAA">
        <w:rPr>
          <w:color w:val="000000" w:themeColor="text1"/>
        </w:rPr>
        <w:t>hildren, there was a delay of 16</w:t>
      </w:r>
      <w:r w:rsidRPr="00B80AAA">
        <w:rPr>
          <w:color w:val="000000" w:themeColor="text1"/>
        </w:rPr>
        <w:t xml:space="preserve"> years between their murders and the judgment rendered in the criminal action.</w:t>
      </w:r>
      <w:r w:rsidRPr="00B80AAA">
        <w:rPr>
          <w:rStyle w:val="FootnoteReference"/>
          <w:color w:val="000000" w:themeColor="text1"/>
        </w:rPr>
        <w:footnoteReference w:id="80"/>
      </w:r>
      <w:r w:rsidRPr="00B80AAA">
        <w:rPr>
          <w:color w:val="000000" w:themeColor="text1"/>
        </w:rPr>
        <w:t xml:space="preserve"> This surpasses the delay in </w:t>
      </w:r>
      <w:r w:rsidR="004E22F0" w:rsidRPr="00B80AAA">
        <w:rPr>
          <w:i/>
          <w:color w:val="000000" w:themeColor="text1"/>
        </w:rPr>
        <w:t>Baldeó</w:t>
      </w:r>
      <w:r w:rsidR="00933AA1" w:rsidRPr="00B80AAA">
        <w:rPr>
          <w:i/>
          <w:color w:val="000000" w:themeColor="text1"/>
        </w:rPr>
        <w:t>n-Garcí</w:t>
      </w:r>
      <w:r w:rsidRPr="00B80AAA">
        <w:rPr>
          <w:i/>
          <w:color w:val="000000" w:themeColor="text1"/>
        </w:rPr>
        <w:t>a</w:t>
      </w:r>
      <w:r w:rsidRPr="00B80AAA">
        <w:rPr>
          <w:color w:val="000000" w:themeColor="text1"/>
        </w:rPr>
        <w:t xml:space="preserve"> </w:t>
      </w:r>
      <w:r w:rsidRPr="00B80AAA">
        <w:rPr>
          <w:i/>
          <w:color w:val="000000" w:themeColor="text1"/>
        </w:rPr>
        <w:t>Cruz</w:t>
      </w:r>
      <w:r w:rsidR="00C11286" w:rsidRPr="00B80AAA">
        <w:rPr>
          <w:color w:val="000000" w:themeColor="text1"/>
        </w:rPr>
        <w:t xml:space="preserve"> by 1 year</w:t>
      </w:r>
      <w:r w:rsidRPr="00B80AAA">
        <w:rPr>
          <w:color w:val="000000" w:themeColor="text1"/>
        </w:rPr>
        <w:t>.  In relation to Lucia</w:t>
      </w:r>
      <w:r w:rsidR="00C11286" w:rsidRPr="00B80AAA">
        <w:rPr>
          <w:color w:val="000000" w:themeColor="text1"/>
        </w:rPr>
        <w:t xml:space="preserve"> Camana, there was a delay of 8</w:t>
      </w:r>
      <w:r w:rsidRPr="00B80AAA">
        <w:rPr>
          <w:color w:val="000000" w:themeColor="text1"/>
        </w:rPr>
        <w:t xml:space="preserve"> years between her murder and the judgment rendered in the criminal action.</w:t>
      </w:r>
      <w:r w:rsidRPr="00B80AAA">
        <w:rPr>
          <w:rStyle w:val="FootnoteReference"/>
          <w:color w:val="000000" w:themeColor="text1"/>
        </w:rPr>
        <w:footnoteReference w:id="81"/>
      </w:r>
      <w:r w:rsidR="004B395E" w:rsidRPr="00B80AAA">
        <w:rPr>
          <w:color w:val="000000" w:themeColor="text1"/>
        </w:rPr>
        <w:t xml:space="preserve"> Though 6</w:t>
      </w:r>
      <w:r w:rsidRPr="00B80AAA">
        <w:rPr>
          <w:color w:val="000000" w:themeColor="text1"/>
        </w:rPr>
        <w:t xml:space="preserve"> years shy of the delay in </w:t>
      </w:r>
      <w:r w:rsidR="004E22F0" w:rsidRPr="00B80AAA">
        <w:rPr>
          <w:i/>
          <w:color w:val="000000" w:themeColor="text1"/>
        </w:rPr>
        <w:t>Baldeó</w:t>
      </w:r>
      <w:r w:rsidR="00933AA1" w:rsidRPr="00B80AAA">
        <w:rPr>
          <w:i/>
          <w:color w:val="000000" w:themeColor="text1"/>
        </w:rPr>
        <w:t>n-Garcí</w:t>
      </w:r>
      <w:r w:rsidRPr="00B80AAA">
        <w:rPr>
          <w:i/>
          <w:color w:val="000000" w:themeColor="text1"/>
        </w:rPr>
        <w:t>a Cruz</w:t>
      </w:r>
      <w:r w:rsidR="004B395E" w:rsidRPr="00B80AAA">
        <w:rPr>
          <w:color w:val="000000" w:themeColor="text1"/>
        </w:rPr>
        <w:t xml:space="preserve">, in the case of </w:t>
      </w:r>
      <w:r w:rsidR="004B395E" w:rsidRPr="00B80AAA">
        <w:rPr>
          <w:i/>
          <w:color w:val="000000" w:themeColor="text1"/>
        </w:rPr>
        <w:t>Mangas v</w:t>
      </w:r>
      <w:r w:rsidR="005E553E" w:rsidRPr="00B80AAA">
        <w:rPr>
          <w:i/>
          <w:color w:val="000000" w:themeColor="text1"/>
        </w:rPr>
        <w:t>.</w:t>
      </w:r>
      <w:r w:rsidR="004B395E" w:rsidRPr="00B80AAA">
        <w:rPr>
          <w:i/>
          <w:color w:val="000000" w:themeColor="text1"/>
        </w:rPr>
        <w:t xml:space="preserve"> Nicaragua</w:t>
      </w:r>
      <w:r w:rsidR="004B395E" w:rsidRPr="00B80AAA">
        <w:rPr>
          <w:rStyle w:val="FootnoteReference"/>
          <w:color w:val="000000" w:themeColor="text1"/>
        </w:rPr>
        <w:footnoteReference w:id="82"/>
      </w:r>
      <w:r w:rsidR="004B395E" w:rsidRPr="00B80AAA">
        <w:rPr>
          <w:color w:val="000000" w:themeColor="text1"/>
        </w:rPr>
        <w:t>the Commission determined that a delay of 5 years between the filing of charges and the rendering of a final judgment went “</w:t>
      </w:r>
      <w:r w:rsidR="004B395E" w:rsidRPr="00B80AAA">
        <w:rPr>
          <w:color w:val="000000"/>
        </w:rPr>
        <w:t xml:space="preserve">beyond the limits of </w:t>
      </w:r>
      <w:r w:rsidR="004B395E" w:rsidRPr="00B80AAA">
        <w:rPr>
          <w:color w:val="000000"/>
        </w:rPr>
        <w:lastRenderedPageBreak/>
        <w:t>reasonability”.</w:t>
      </w:r>
      <w:r w:rsidR="004B395E" w:rsidRPr="00B80AAA">
        <w:rPr>
          <w:rStyle w:val="FootnoteReference"/>
          <w:color w:val="000000"/>
        </w:rPr>
        <w:footnoteReference w:id="83"/>
      </w:r>
      <w:r w:rsidRPr="00B80AAA">
        <w:rPr>
          <w:color w:val="000000" w:themeColor="text1"/>
        </w:rPr>
        <w:t xml:space="preserve">It is therefore submitted that Article 46(2)(c) is applicable as the delay experienced in both instances was unreasonable and unwarranted. </w:t>
      </w:r>
    </w:p>
    <w:p w:rsidR="00D17734" w:rsidRPr="00B80AAA" w:rsidRDefault="00C74A5E" w:rsidP="00B80AAA">
      <w:pPr>
        <w:spacing w:line="480" w:lineRule="auto"/>
        <w:jc w:val="both"/>
        <w:rPr>
          <w:color w:val="000000" w:themeColor="text1"/>
        </w:rPr>
      </w:pPr>
      <w:r w:rsidRPr="00B80AAA">
        <w:rPr>
          <w:color w:val="000000" w:themeColor="text1"/>
        </w:rPr>
        <w:t xml:space="preserve">In relation to the Pichicha People, with the violation of several fundamental rights as a result of the Wirikuya Project in their territory, </w:t>
      </w:r>
      <w:r w:rsidR="00AE67B6" w:rsidRPr="00B80AAA">
        <w:rPr>
          <w:color w:val="000000" w:themeColor="text1"/>
        </w:rPr>
        <w:t>a petition for an</w:t>
      </w:r>
      <w:r w:rsidRPr="00B80AAA">
        <w:rPr>
          <w:color w:val="000000" w:themeColor="text1"/>
        </w:rPr>
        <w:t xml:space="preserve"> amparo for protection of these non-</w:t>
      </w:r>
      <w:r w:rsidR="00AE67B6" w:rsidRPr="00B80AAA">
        <w:rPr>
          <w:color w:val="000000" w:themeColor="text1"/>
        </w:rPr>
        <w:t>derrogable</w:t>
      </w:r>
      <w:r w:rsidRPr="00B80AAA">
        <w:rPr>
          <w:color w:val="000000" w:themeColor="text1"/>
        </w:rPr>
        <w:t xml:space="preserve"> rights</w:t>
      </w:r>
      <w:r w:rsidR="00AE67B6" w:rsidRPr="00B80AAA">
        <w:rPr>
          <w:color w:val="000000" w:themeColor="text1"/>
        </w:rPr>
        <w:t xml:space="preserve"> was filed</w:t>
      </w:r>
      <w:r w:rsidRPr="00B80AAA">
        <w:rPr>
          <w:color w:val="000000" w:themeColor="text1"/>
        </w:rPr>
        <w:t>.</w:t>
      </w:r>
      <w:r w:rsidRPr="00B80AAA">
        <w:rPr>
          <w:color w:val="000000" w:themeColor="text1"/>
          <w:vertAlign w:val="superscript"/>
        </w:rPr>
        <w:footnoteReference w:id="84"/>
      </w:r>
      <w:r w:rsidRPr="00B80AAA">
        <w:rPr>
          <w:color w:val="000000" w:themeColor="text1"/>
        </w:rPr>
        <w:t xml:space="preserve"> However, it was shelved in place of</w:t>
      </w:r>
      <w:r w:rsidR="00AE67B6" w:rsidRPr="00B80AAA">
        <w:rPr>
          <w:color w:val="000000" w:themeColor="text1"/>
        </w:rPr>
        <w:t xml:space="preserve"> an injunction,</w:t>
      </w:r>
      <w:r w:rsidR="00EC7DA4" w:rsidRPr="00B80AAA">
        <w:rPr>
          <w:color w:val="000000" w:themeColor="text1"/>
        </w:rPr>
        <w:t xml:space="preserve"> an</w:t>
      </w:r>
      <w:r w:rsidRPr="00B80AAA">
        <w:rPr>
          <w:color w:val="000000" w:themeColor="text1"/>
        </w:rPr>
        <w:t xml:space="preserve"> </w:t>
      </w:r>
      <w:r w:rsidR="00AE67B6" w:rsidRPr="00B80AAA">
        <w:rPr>
          <w:color w:val="000000" w:themeColor="text1"/>
        </w:rPr>
        <w:t>in</w:t>
      </w:r>
      <w:r w:rsidR="005E553E" w:rsidRPr="00B80AAA">
        <w:rPr>
          <w:color w:val="000000" w:themeColor="text1"/>
        </w:rPr>
        <w:t>adequate</w:t>
      </w:r>
      <w:r w:rsidR="00AE67B6" w:rsidRPr="00B80AAA">
        <w:rPr>
          <w:color w:val="000000" w:themeColor="text1"/>
        </w:rPr>
        <w:t xml:space="preserve"> remedy</w:t>
      </w:r>
      <w:r w:rsidRPr="00B80AAA">
        <w:rPr>
          <w:color w:val="000000" w:themeColor="text1"/>
        </w:rPr>
        <w:t xml:space="preserve"> to protect such rights and thus it could not effectively address the rights infringed.</w:t>
      </w:r>
      <w:r w:rsidRPr="00B80AAA">
        <w:rPr>
          <w:color w:val="000000" w:themeColor="text1"/>
          <w:vertAlign w:val="superscript"/>
        </w:rPr>
        <w:footnoteReference w:id="85"/>
      </w:r>
      <w:r w:rsidR="00AE67B6" w:rsidRPr="00B80AAA">
        <w:rPr>
          <w:color w:val="000000" w:themeColor="text1"/>
        </w:rPr>
        <w:t xml:space="preserve"> The Inter-American Court on Human Rights in an advisory opinion</w:t>
      </w:r>
      <w:r w:rsidR="00AE67B6" w:rsidRPr="00B80AAA">
        <w:rPr>
          <w:color w:val="000000" w:themeColor="text1"/>
          <w:vertAlign w:val="superscript"/>
        </w:rPr>
        <w:footnoteReference w:id="86"/>
      </w:r>
      <w:r w:rsidR="00AE67B6" w:rsidRPr="00B80AAA">
        <w:rPr>
          <w:color w:val="000000" w:themeColor="text1"/>
        </w:rPr>
        <w:t xml:space="preserve"> stated that such judicial remedies as amparos were to be considered appropriate and effective remedies to protect non-derrogable rights as listed in Article 27.</w:t>
      </w:r>
      <w:r w:rsidR="00AE67B6" w:rsidRPr="00B80AAA">
        <w:rPr>
          <w:color w:val="000000" w:themeColor="text1"/>
          <w:vertAlign w:val="superscript"/>
        </w:rPr>
        <w:footnoteReference w:id="87"/>
      </w:r>
      <w:r w:rsidR="00AE67B6" w:rsidRPr="00B80AAA">
        <w:rPr>
          <w:color w:val="000000" w:themeColor="text1"/>
        </w:rPr>
        <w:t xml:space="preserve"> The Court also stated that any suspension of this remedy would be incompatible with the </w:t>
      </w:r>
      <w:r w:rsidR="00AE67B6" w:rsidRPr="00B80AAA">
        <w:rPr>
          <w:i/>
          <w:color w:val="000000" w:themeColor="text1"/>
        </w:rPr>
        <w:t>Convention.</w:t>
      </w:r>
      <w:r w:rsidR="00AE67B6" w:rsidRPr="00B80AAA">
        <w:rPr>
          <w:color w:val="000000" w:themeColor="text1"/>
          <w:vertAlign w:val="superscript"/>
        </w:rPr>
        <w:footnoteReference w:id="88"/>
      </w:r>
      <w:r w:rsidRPr="00B80AAA">
        <w:rPr>
          <w:color w:val="000000" w:themeColor="text1"/>
        </w:rPr>
        <w:t xml:space="preserve"> As such,</w:t>
      </w:r>
      <w:r w:rsidR="00AE67B6" w:rsidRPr="00B80AAA">
        <w:rPr>
          <w:color w:val="000000" w:themeColor="text1"/>
        </w:rPr>
        <w:t xml:space="preserve"> </w:t>
      </w:r>
      <w:r w:rsidR="00E93526" w:rsidRPr="00B80AAA">
        <w:rPr>
          <w:color w:val="000000" w:themeColor="text1"/>
        </w:rPr>
        <w:t>the shelving of the amparo action</w:t>
      </w:r>
      <w:r w:rsidR="00E93526" w:rsidRPr="00B80AAA">
        <w:rPr>
          <w:rStyle w:val="FootnoteReference"/>
          <w:color w:val="000000" w:themeColor="text1"/>
        </w:rPr>
        <w:footnoteReference w:id="89"/>
      </w:r>
      <w:r w:rsidR="00E93526" w:rsidRPr="00B80AAA">
        <w:rPr>
          <w:color w:val="000000" w:themeColor="text1"/>
        </w:rPr>
        <w:t xml:space="preserve"> was incompatible with the </w:t>
      </w:r>
      <w:r w:rsidR="00E93526" w:rsidRPr="00B80AAA">
        <w:rPr>
          <w:i/>
          <w:color w:val="000000" w:themeColor="text1"/>
        </w:rPr>
        <w:t>ACHR</w:t>
      </w:r>
      <w:r w:rsidR="00E93526" w:rsidRPr="00B80AAA">
        <w:rPr>
          <w:color w:val="000000" w:themeColor="text1"/>
        </w:rPr>
        <w:t xml:space="preserve">, and </w:t>
      </w:r>
      <w:r w:rsidR="00AE67B6" w:rsidRPr="00B80AAA">
        <w:rPr>
          <w:color w:val="000000" w:themeColor="text1"/>
        </w:rPr>
        <w:t xml:space="preserve">the remedy given to the Pichicha </w:t>
      </w:r>
      <w:r w:rsidR="00E93526" w:rsidRPr="00B80AAA">
        <w:rPr>
          <w:color w:val="000000" w:themeColor="text1"/>
        </w:rPr>
        <w:t xml:space="preserve">people </w:t>
      </w:r>
      <w:r w:rsidR="00AE67B6" w:rsidRPr="00B80AAA">
        <w:rPr>
          <w:color w:val="000000" w:themeColor="text1"/>
        </w:rPr>
        <w:t>(</w:t>
      </w:r>
      <w:r w:rsidR="00E93526" w:rsidRPr="00B80AAA">
        <w:rPr>
          <w:color w:val="000000" w:themeColor="text1"/>
        </w:rPr>
        <w:t xml:space="preserve">an </w:t>
      </w:r>
      <w:r w:rsidR="00AE67B6" w:rsidRPr="00B80AAA">
        <w:rPr>
          <w:color w:val="000000" w:themeColor="text1"/>
        </w:rPr>
        <w:t xml:space="preserve">injunction) was </w:t>
      </w:r>
      <w:r w:rsidR="00E93526" w:rsidRPr="00B80AAA">
        <w:rPr>
          <w:color w:val="000000" w:themeColor="text1"/>
        </w:rPr>
        <w:t xml:space="preserve">inadequate as it could not give the relief sought. Therefore Article 46(2)(a) of the </w:t>
      </w:r>
      <w:r w:rsidR="00E93526" w:rsidRPr="00B80AAA">
        <w:rPr>
          <w:i/>
          <w:color w:val="000000" w:themeColor="text1"/>
        </w:rPr>
        <w:t>ACHR</w:t>
      </w:r>
      <w:r w:rsidR="00E93526" w:rsidRPr="00B80AAA">
        <w:rPr>
          <w:color w:val="000000" w:themeColor="text1"/>
        </w:rPr>
        <w:t xml:space="preserve"> applies in relation to the Pichicha people. </w:t>
      </w:r>
    </w:p>
    <w:p w:rsidR="000162AA" w:rsidRPr="00B80AAA" w:rsidRDefault="00E93526" w:rsidP="00B80AAA">
      <w:pPr>
        <w:spacing w:line="480" w:lineRule="auto"/>
        <w:jc w:val="both"/>
        <w:rPr>
          <w:color w:val="000000" w:themeColor="text1"/>
        </w:rPr>
      </w:pPr>
      <w:r w:rsidRPr="00B80AAA">
        <w:rPr>
          <w:color w:val="000000" w:themeColor="text1"/>
        </w:rPr>
        <w:t>In relation to t</w:t>
      </w:r>
      <w:r w:rsidR="00C74A5E" w:rsidRPr="00B80AAA">
        <w:rPr>
          <w:color w:val="000000" w:themeColor="text1"/>
        </w:rPr>
        <w:t>he Orífuna people</w:t>
      </w:r>
      <w:r w:rsidRPr="00B80AAA">
        <w:rPr>
          <w:color w:val="000000" w:themeColor="text1"/>
        </w:rPr>
        <w:t xml:space="preserve">, the action for nullity filed in Santa Clara was ruled to be “unfounded” as the Supreme Court of Santa Clara claimed prior consultation on foreign policy </w:t>
      </w:r>
      <w:r w:rsidR="00A774A2" w:rsidRPr="00B80AAA">
        <w:rPr>
          <w:color w:val="000000" w:themeColor="text1"/>
        </w:rPr>
        <w:t>was not regulated in its domestic law.</w:t>
      </w:r>
      <w:r w:rsidR="00A774A2" w:rsidRPr="00B80AAA">
        <w:rPr>
          <w:rStyle w:val="FootnoteReference"/>
          <w:color w:val="000000" w:themeColor="text1"/>
        </w:rPr>
        <w:footnoteReference w:id="90"/>
      </w:r>
      <w:r w:rsidR="00A774A2" w:rsidRPr="00B80AAA">
        <w:rPr>
          <w:color w:val="000000" w:themeColor="text1"/>
        </w:rPr>
        <w:t xml:space="preserve"> According to Article 46(2)(a) of the </w:t>
      </w:r>
      <w:r w:rsidR="00A774A2" w:rsidRPr="00B80AAA">
        <w:rPr>
          <w:i/>
          <w:color w:val="000000" w:themeColor="text1"/>
        </w:rPr>
        <w:t>ACHR</w:t>
      </w:r>
      <w:r w:rsidR="00A774A2" w:rsidRPr="00B80AAA">
        <w:rPr>
          <w:color w:val="000000" w:themeColor="text1"/>
        </w:rPr>
        <w:t xml:space="preserve">, if there is no remedy that corresponds with the alleged wrong then domestic remedies need not be exhausted. </w:t>
      </w:r>
      <w:r w:rsidR="00A774A2" w:rsidRPr="00B80AAA">
        <w:rPr>
          <w:color w:val="000000" w:themeColor="text1"/>
        </w:rPr>
        <w:lastRenderedPageBreak/>
        <w:t xml:space="preserve">In this case Santa Clara provided no remedy in its domestic legislation to address the wrong alleged by the Orífuna and thus the requirement under Article 46(2)(a) has been satisfied. </w:t>
      </w:r>
    </w:p>
    <w:p w:rsidR="004924A8" w:rsidRPr="00B80AAA" w:rsidRDefault="00C74A5E" w:rsidP="00B80AAA">
      <w:pPr>
        <w:pStyle w:val="Heading2"/>
        <w:spacing w:line="480" w:lineRule="auto"/>
        <w:jc w:val="both"/>
        <w:rPr>
          <w:rFonts w:ascii="Times New Roman" w:hAnsi="Times New Roman" w:cs="Times New Roman"/>
          <w:color w:val="000000" w:themeColor="text1"/>
          <w:sz w:val="24"/>
          <w:szCs w:val="24"/>
        </w:rPr>
      </w:pPr>
      <w:bookmarkStart w:id="33" w:name="_Toc446831631"/>
      <w:r w:rsidRPr="00B80AAA">
        <w:rPr>
          <w:rFonts w:ascii="Times New Roman" w:hAnsi="Times New Roman" w:cs="Times New Roman"/>
          <w:color w:val="000000" w:themeColor="text1"/>
          <w:sz w:val="24"/>
          <w:szCs w:val="24"/>
        </w:rPr>
        <w:t>3.3 Santa Clara has vio</w:t>
      </w:r>
      <w:r w:rsidR="00DA6241" w:rsidRPr="00B80AAA">
        <w:rPr>
          <w:rFonts w:ascii="Times New Roman" w:hAnsi="Times New Roman" w:cs="Times New Roman"/>
          <w:color w:val="000000" w:themeColor="text1"/>
          <w:sz w:val="24"/>
          <w:szCs w:val="24"/>
        </w:rPr>
        <w:t>lated Articles 4, 5, 16, 17, 8,</w:t>
      </w:r>
      <w:r w:rsidRPr="00B80AAA">
        <w:rPr>
          <w:rFonts w:ascii="Times New Roman" w:hAnsi="Times New Roman" w:cs="Times New Roman"/>
          <w:color w:val="000000" w:themeColor="text1"/>
          <w:sz w:val="24"/>
          <w:szCs w:val="24"/>
        </w:rPr>
        <w:t xml:space="preserve"> </w:t>
      </w:r>
      <w:r w:rsidR="00CB4FB6" w:rsidRPr="00B80AAA">
        <w:rPr>
          <w:rFonts w:ascii="Times New Roman" w:hAnsi="Times New Roman" w:cs="Times New Roman"/>
          <w:color w:val="000000" w:themeColor="text1"/>
          <w:sz w:val="24"/>
          <w:szCs w:val="24"/>
        </w:rPr>
        <w:t xml:space="preserve">and </w:t>
      </w:r>
      <w:r w:rsidRPr="00B80AAA">
        <w:rPr>
          <w:rFonts w:ascii="Times New Roman" w:hAnsi="Times New Roman" w:cs="Times New Roman"/>
          <w:color w:val="000000" w:themeColor="text1"/>
          <w:sz w:val="24"/>
          <w:szCs w:val="24"/>
        </w:rPr>
        <w:t>25</w:t>
      </w:r>
      <w:r w:rsidR="00DA6241" w:rsidRPr="00B80AAA">
        <w:rPr>
          <w:rFonts w:ascii="Times New Roman" w:hAnsi="Times New Roman" w:cs="Times New Roman"/>
          <w:color w:val="000000" w:themeColor="text1"/>
          <w:sz w:val="24"/>
          <w:szCs w:val="24"/>
        </w:rPr>
        <w:t xml:space="preserve"> </w:t>
      </w:r>
      <w:r w:rsidR="0091740D" w:rsidRPr="00B80AAA">
        <w:rPr>
          <w:rFonts w:ascii="Times New Roman" w:hAnsi="Times New Roman" w:cs="Times New Roman"/>
          <w:color w:val="000000" w:themeColor="text1"/>
          <w:sz w:val="24"/>
          <w:szCs w:val="24"/>
        </w:rPr>
        <w:t xml:space="preserve">of the American </w:t>
      </w:r>
      <w:r w:rsidRPr="00B80AAA">
        <w:rPr>
          <w:rFonts w:ascii="Times New Roman" w:hAnsi="Times New Roman" w:cs="Times New Roman"/>
          <w:color w:val="000000" w:themeColor="text1"/>
          <w:sz w:val="24"/>
          <w:szCs w:val="24"/>
        </w:rPr>
        <w:t>Convention, all read in conjunction with Articles 1(1) and 2 in respect of Edmundo Camana</w:t>
      </w:r>
      <w:r w:rsidR="00271D38" w:rsidRPr="00B80AAA">
        <w:rPr>
          <w:rFonts w:ascii="Times New Roman" w:hAnsi="Times New Roman" w:cs="Times New Roman"/>
          <w:color w:val="000000" w:themeColor="text1"/>
          <w:sz w:val="24"/>
          <w:szCs w:val="24"/>
        </w:rPr>
        <w:t xml:space="preserve"> and his family</w:t>
      </w:r>
      <w:bookmarkEnd w:id="33"/>
    </w:p>
    <w:p w:rsidR="009B10CE" w:rsidRPr="00B80AAA" w:rsidRDefault="009B10CE" w:rsidP="00B80AAA">
      <w:pPr>
        <w:pStyle w:val="Heading3"/>
        <w:spacing w:line="480" w:lineRule="auto"/>
        <w:jc w:val="both"/>
        <w:rPr>
          <w:rFonts w:ascii="Times New Roman" w:hAnsi="Times New Roman" w:cs="Times New Roman"/>
          <w:i/>
          <w:color w:val="000000" w:themeColor="text1"/>
        </w:rPr>
      </w:pPr>
      <w:bookmarkStart w:id="34" w:name="_Toc446831632"/>
      <w:r w:rsidRPr="00B80AAA">
        <w:rPr>
          <w:rFonts w:ascii="Times New Roman" w:hAnsi="Times New Roman" w:cs="Times New Roman"/>
          <w:i/>
          <w:color w:val="000000" w:themeColor="text1"/>
        </w:rPr>
        <w:t>3.3.1 Article 4- Violation of the Right to Life in respect of Edmundo Camana and his family</w:t>
      </w:r>
      <w:bookmarkEnd w:id="34"/>
    </w:p>
    <w:p w:rsidR="00ED0CD2" w:rsidRPr="00B80AAA" w:rsidRDefault="00737915" w:rsidP="00B80AA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color w:val="000000" w:themeColor="text1"/>
        </w:rPr>
      </w:pPr>
      <w:r w:rsidRPr="00B80AAA">
        <w:rPr>
          <w:color w:val="000000" w:themeColor="text1"/>
        </w:rPr>
        <w:t>Article 4(1) of the</w:t>
      </w:r>
      <w:r w:rsidRPr="00B80AAA">
        <w:rPr>
          <w:i/>
          <w:color w:val="000000" w:themeColor="text1"/>
        </w:rPr>
        <w:t xml:space="preserve"> ACHR</w:t>
      </w:r>
      <w:r w:rsidRPr="00B80AAA">
        <w:rPr>
          <w:rStyle w:val="FootnoteReference"/>
          <w:color w:val="000000" w:themeColor="text1"/>
        </w:rPr>
        <w:footnoteReference w:id="91"/>
      </w:r>
      <w:r w:rsidRPr="00B80AAA">
        <w:rPr>
          <w:color w:val="000000" w:themeColor="text1"/>
        </w:rPr>
        <w:t xml:space="preserve"> provides that ever</w:t>
      </w:r>
      <w:r w:rsidR="002B0383" w:rsidRPr="00B80AAA">
        <w:rPr>
          <w:color w:val="000000" w:themeColor="text1"/>
        </w:rPr>
        <w:t>y person has the right to have his or her</w:t>
      </w:r>
      <w:r w:rsidRPr="00B80AAA">
        <w:rPr>
          <w:color w:val="000000" w:themeColor="text1"/>
        </w:rPr>
        <w:t xml:space="preserve"> life respected, protected by the law and to not </w:t>
      </w:r>
      <w:r w:rsidR="00071361" w:rsidRPr="00B80AAA">
        <w:rPr>
          <w:color w:val="000000" w:themeColor="text1"/>
        </w:rPr>
        <w:t>have his or her</w:t>
      </w:r>
      <w:r w:rsidRPr="00B80AAA">
        <w:rPr>
          <w:color w:val="000000" w:themeColor="text1"/>
        </w:rPr>
        <w:t xml:space="preserve"> life arbitrarily deprived. As citizens of a State Party to the </w:t>
      </w:r>
      <w:r w:rsidRPr="00B80AAA">
        <w:rPr>
          <w:i/>
          <w:color w:val="000000" w:themeColor="text1"/>
        </w:rPr>
        <w:t>ACHR</w:t>
      </w:r>
      <w:r w:rsidRPr="00B80AAA">
        <w:rPr>
          <w:color w:val="000000" w:themeColor="text1"/>
        </w:rPr>
        <w:t>, Ed</w:t>
      </w:r>
      <w:r w:rsidR="00D17734" w:rsidRPr="00B80AAA">
        <w:rPr>
          <w:color w:val="000000" w:themeColor="text1"/>
        </w:rPr>
        <w:t xml:space="preserve">mundo Camana, </w:t>
      </w:r>
      <w:r w:rsidR="006D2F9B" w:rsidRPr="00B80AAA">
        <w:rPr>
          <w:color w:val="000000" w:themeColor="text1"/>
        </w:rPr>
        <w:t>Teresa Osorio and their</w:t>
      </w:r>
      <w:r w:rsidR="00D17734" w:rsidRPr="00B80AAA">
        <w:rPr>
          <w:color w:val="000000" w:themeColor="text1"/>
        </w:rPr>
        <w:t xml:space="preserve"> </w:t>
      </w:r>
      <w:r w:rsidRPr="00B80AAA">
        <w:rPr>
          <w:color w:val="000000" w:themeColor="text1"/>
        </w:rPr>
        <w:t>children, were to be afforded this right from conception.</w:t>
      </w:r>
      <w:r w:rsidRPr="00B80AAA">
        <w:rPr>
          <w:rStyle w:val="FootnoteReference"/>
          <w:color w:val="000000" w:themeColor="text1"/>
        </w:rPr>
        <w:footnoteReference w:id="92"/>
      </w:r>
      <w:r w:rsidRPr="00B80AAA">
        <w:rPr>
          <w:color w:val="000000" w:themeColor="text1"/>
        </w:rPr>
        <w:t xml:space="preserve">  State Parties under this </w:t>
      </w:r>
      <w:r w:rsidRPr="00B80AAA">
        <w:rPr>
          <w:i/>
          <w:color w:val="000000" w:themeColor="text1"/>
        </w:rPr>
        <w:t>ACHR</w:t>
      </w:r>
      <w:r w:rsidRPr="00B80AAA">
        <w:rPr>
          <w:color w:val="000000" w:themeColor="text1"/>
        </w:rPr>
        <w:t xml:space="preserve"> are not only obligated to refrain from behaviour that deprives life but to ensure that it engages in behaviour that positively and actively protects life. Additionally States must adopt legislative, administrative and judicial measures to safeguard the right to life, while creating mechanisms for effective investigations into any</w:t>
      </w:r>
      <w:r w:rsidR="00BE7256" w:rsidRPr="00B80AAA">
        <w:rPr>
          <w:color w:val="000000" w:themeColor="text1"/>
        </w:rPr>
        <w:t xml:space="preserve"> allegations of the violation of</w:t>
      </w:r>
      <w:r w:rsidRPr="00B80AAA">
        <w:rPr>
          <w:color w:val="000000" w:themeColor="text1"/>
        </w:rPr>
        <w:t xml:space="preserve"> the right to life. </w:t>
      </w:r>
      <w:r w:rsidRPr="00B80AAA">
        <w:rPr>
          <w:rStyle w:val="FootnoteReference"/>
          <w:color w:val="000000" w:themeColor="text1"/>
        </w:rPr>
        <w:footnoteReference w:id="93"/>
      </w:r>
      <w:r w:rsidRPr="00B80AAA">
        <w:rPr>
          <w:color w:val="000000" w:themeColor="text1"/>
        </w:rPr>
        <w:t xml:space="preserve"> If a State fails to comply with these obligations whether by way of action or omission it is held to be in v</w:t>
      </w:r>
      <w:r w:rsidR="00ED0CD2" w:rsidRPr="00B80AAA">
        <w:rPr>
          <w:color w:val="000000" w:themeColor="text1"/>
        </w:rPr>
        <w:t>iolation of the right to life.</w:t>
      </w:r>
    </w:p>
    <w:p w:rsidR="004F7047" w:rsidRPr="00B80AAA" w:rsidRDefault="00737915" w:rsidP="00B80AA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color w:val="000000" w:themeColor="text1"/>
          <w:lang w:val="en"/>
        </w:rPr>
      </w:pPr>
      <w:r w:rsidRPr="00B80AAA">
        <w:rPr>
          <w:color w:val="000000" w:themeColor="text1"/>
        </w:rPr>
        <w:t xml:space="preserve">In keeping with the extraterritorial application of the </w:t>
      </w:r>
      <w:r w:rsidRPr="00B80AAA">
        <w:rPr>
          <w:i/>
          <w:color w:val="000000" w:themeColor="text1"/>
        </w:rPr>
        <w:t xml:space="preserve">ACHR </w:t>
      </w:r>
      <w:r w:rsidRPr="00B80AAA">
        <w:rPr>
          <w:color w:val="000000" w:themeColor="text1"/>
        </w:rPr>
        <w:t xml:space="preserve">as mentioned above, </w:t>
      </w:r>
      <w:r w:rsidR="004F7047" w:rsidRPr="00B80AAA">
        <w:rPr>
          <w:color w:val="000000" w:themeColor="text1"/>
        </w:rPr>
        <w:t xml:space="preserve">it is submitted that </w:t>
      </w:r>
      <w:r w:rsidR="00C76BF8" w:rsidRPr="00B80AAA">
        <w:rPr>
          <w:color w:val="000000" w:themeColor="text1"/>
          <w:lang w:val="en-CA"/>
        </w:rPr>
        <w:t>Home S</w:t>
      </w:r>
      <w:r w:rsidR="004F7047" w:rsidRPr="00B80AAA">
        <w:rPr>
          <w:color w:val="000000" w:themeColor="text1"/>
          <w:lang w:val="en-CA"/>
        </w:rPr>
        <w:t>tates of transnational corporations</w:t>
      </w:r>
      <w:r w:rsidR="00D17734" w:rsidRPr="00B80AAA">
        <w:rPr>
          <w:color w:val="000000" w:themeColor="text1"/>
          <w:lang w:val="en-CA"/>
        </w:rPr>
        <w:t xml:space="preserve"> (hereinafter “TNC”)</w:t>
      </w:r>
      <w:r w:rsidR="004F7047" w:rsidRPr="00B80AAA">
        <w:rPr>
          <w:color w:val="000000" w:themeColor="text1"/>
          <w:lang w:val="en-CA"/>
        </w:rPr>
        <w:t xml:space="preserve"> have obligations under international law in certain situations to regulate the extraterritorial activities </w:t>
      </w:r>
      <w:r w:rsidR="00D558A3" w:rsidRPr="00B80AAA">
        <w:rPr>
          <w:color w:val="000000" w:themeColor="text1"/>
          <w:lang w:val="en-CA"/>
        </w:rPr>
        <w:t xml:space="preserve">their </w:t>
      </w:r>
      <w:r w:rsidR="004F7047" w:rsidRPr="00B80AAA">
        <w:rPr>
          <w:color w:val="000000" w:themeColor="text1"/>
          <w:lang w:val="en-CA"/>
        </w:rPr>
        <w:t>corporations</w:t>
      </w:r>
      <w:r w:rsidR="00D558A3" w:rsidRPr="00B80AAA">
        <w:rPr>
          <w:color w:val="000000" w:themeColor="text1"/>
          <w:lang w:val="en-CA"/>
        </w:rPr>
        <w:t>.</w:t>
      </w:r>
      <w:r w:rsidR="0097691E" w:rsidRPr="00B80AAA">
        <w:rPr>
          <w:rStyle w:val="FootnoteReference"/>
          <w:color w:val="000000" w:themeColor="text1"/>
          <w:lang w:val="en-CA"/>
        </w:rPr>
        <w:footnoteReference w:id="94"/>
      </w:r>
      <w:r w:rsidR="00D558A3" w:rsidRPr="00B80AAA">
        <w:rPr>
          <w:color w:val="000000" w:themeColor="text1"/>
          <w:lang w:val="en-CA"/>
        </w:rPr>
        <w:t xml:space="preserve"> Failure to do so would</w:t>
      </w:r>
      <w:r w:rsidR="004F7047" w:rsidRPr="00B80AAA">
        <w:rPr>
          <w:color w:val="000000" w:themeColor="text1"/>
          <w:lang w:val="en-CA"/>
        </w:rPr>
        <w:t xml:space="preserve"> incur international responsibility. </w:t>
      </w:r>
    </w:p>
    <w:p w:rsidR="009D7430" w:rsidRPr="00B80AAA" w:rsidRDefault="009D7430" w:rsidP="00B80AAA">
      <w:pPr>
        <w:shd w:val="clear" w:color="auto" w:fill="FFFFFF"/>
        <w:spacing w:line="480" w:lineRule="auto"/>
        <w:jc w:val="both"/>
        <w:rPr>
          <w:rFonts w:eastAsia="Times New Roman"/>
          <w:lang w:eastAsia="en-TT"/>
        </w:rPr>
      </w:pPr>
      <w:r w:rsidRPr="00B80AAA">
        <w:rPr>
          <w:color w:val="000000" w:themeColor="text1"/>
          <w:lang w:val="en-CA"/>
        </w:rPr>
        <w:lastRenderedPageBreak/>
        <w:t xml:space="preserve">Article 16 of the ILC </w:t>
      </w:r>
      <w:r w:rsidRPr="00B80AAA">
        <w:rPr>
          <w:i/>
          <w:color w:val="000000" w:themeColor="text1"/>
        </w:rPr>
        <w:t>Draft Articles</w:t>
      </w:r>
      <w:r w:rsidR="00463348" w:rsidRPr="00B80AAA">
        <w:rPr>
          <w:rStyle w:val="FootnoteReference"/>
          <w:i/>
          <w:color w:val="000000" w:themeColor="text1"/>
        </w:rPr>
        <w:footnoteReference w:id="95"/>
      </w:r>
      <w:r w:rsidRPr="00B80AAA">
        <w:rPr>
          <w:color w:val="000000" w:themeColor="text1"/>
          <w:lang w:val="en-CA"/>
        </w:rPr>
        <w:t xml:space="preserve"> provides that where a State aids or assists another State in </w:t>
      </w:r>
      <w:r w:rsidRPr="00B80AAA">
        <w:rPr>
          <w:rFonts w:eastAsia="Times New Roman"/>
          <w:color w:val="000000" w:themeColor="text1"/>
          <w:lang w:eastAsia="en-TT"/>
        </w:rPr>
        <w:t xml:space="preserve">the commission of an </w:t>
      </w:r>
      <w:r w:rsidRPr="00B80AAA">
        <w:rPr>
          <w:color w:val="000000" w:themeColor="text1"/>
          <w:lang w:val="en-CA"/>
        </w:rPr>
        <w:t xml:space="preserve">internationally wrongful act, with knowledge of the circumstances of the act and where the act would be internationally wrongful if committed by that State, the </w:t>
      </w:r>
      <w:r w:rsidR="0092741A" w:rsidRPr="00B80AAA">
        <w:rPr>
          <w:color w:val="000000" w:themeColor="text1"/>
          <w:lang w:val="en-CA"/>
        </w:rPr>
        <w:t xml:space="preserve">assisting </w:t>
      </w:r>
      <w:r w:rsidRPr="00B80AAA">
        <w:rPr>
          <w:color w:val="000000" w:themeColor="text1"/>
          <w:lang w:val="en-CA"/>
        </w:rPr>
        <w:t xml:space="preserve">State is internationally responsible for doing so. </w:t>
      </w:r>
      <w:r w:rsidR="00C76BF8" w:rsidRPr="00B80AAA">
        <w:rPr>
          <w:rFonts w:eastAsia="Times New Roman"/>
          <w:lang w:eastAsia="en-TT"/>
        </w:rPr>
        <w:t>Thus where a Home S</w:t>
      </w:r>
      <w:r w:rsidRPr="00B80AAA">
        <w:rPr>
          <w:rFonts w:eastAsia="Times New Roman"/>
          <w:lang w:eastAsia="en-TT"/>
        </w:rPr>
        <w:t xml:space="preserve">tate has “sufficient knowledge” </w:t>
      </w:r>
      <w:r w:rsidRPr="00B80AAA">
        <w:rPr>
          <w:color w:val="000000" w:themeColor="text1"/>
          <w:lang w:val="en-CA"/>
        </w:rPr>
        <w:t>that its funding of a TNC, aids that TNC in committing an int</w:t>
      </w:r>
      <w:r w:rsidR="00C76BF8" w:rsidRPr="00B80AAA">
        <w:rPr>
          <w:color w:val="000000" w:themeColor="text1"/>
          <w:lang w:val="en-CA"/>
        </w:rPr>
        <w:t>ernationally wrongful act in a Host S</w:t>
      </w:r>
      <w:r w:rsidRPr="00B80AAA">
        <w:rPr>
          <w:color w:val="000000" w:themeColor="text1"/>
          <w:lang w:val="en-CA"/>
        </w:rPr>
        <w:t>tate</w:t>
      </w:r>
      <w:r w:rsidR="00C76BF8" w:rsidRPr="00B80AAA">
        <w:rPr>
          <w:rFonts w:eastAsia="Times New Roman"/>
          <w:lang w:eastAsia="en-TT"/>
        </w:rPr>
        <w:t>, the Home St</w:t>
      </w:r>
      <w:r w:rsidRPr="00B80AAA">
        <w:rPr>
          <w:rFonts w:eastAsia="Times New Roman"/>
          <w:lang w:eastAsia="en-TT"/>
        </w:rPr>
        <w:t>ate has a duty to prevent and mitigate the risk.</w:t>
      </w:r>
      <w:r w:rsidRPr="00B80AAA">
        <w:rPr>
          <w:rStyle w:val="FootnoteReference"/>
          <w:rFonts w:eastAsia="Times New Roman"/>
          <w:lang w:eastAsia="en-TT"/>
        </w:rPr>
        <w:footnoteReference w:id="96"/>
      </w:r>
      <w:r w:rsidRPr="00B80AAA">
        <w:rPr>
          <w:rFonts w:eastAsia="Times New Roman"/>
          <w:lang w:eastAsia="en-TT"/>
        </w:rPr>
        <w:t xml:space="preserve"> Failure to do so wou</w:t>
      </w:r>
      <w:r w:rsidR="00C76BF8" w:rsidRPr="00B80AAA">
        <w:rPr>
          <w:rFonts w:eastAsia="Times New Roman"/>
          <w:lang w:eastAsia="en-TT"/>
        </w:rPr>
        <w:t>ld not only result in the Home S</w:t>
      </w:r>
      <w:r w:rsidRPr="00B80AAA">
        <w:rPr>
          <w:rFonts w:eastAsia="Times New Roman"/>
          <w:lang w:eastAsia="en-TT"/>
        </w:rPr>
        <w:t xml:space="preserve">tate being held responsible for the internationally wrongful act, but also responsible for a breach </w:t>
      </w:r>
      <w:r w:rsidR="00BE4F3D" w:rsidRPr="00B80AAA">
        <w:rPr>
          <w:rFonts w:eastAsia="Times New Roman"/>
          <w:lang w:eastAsia="en-TT"/>
        </w:rPr>
        <w:t xml:space="preserve"> </w:t>
      </w:r>
      <w:r w:rsidRPr="00B80AAA">
        <w:rPr>
          <w:rFonts w:eastAsia="Times New Roman"/>
          <w:lang w:eastAsia="en-TT"/>
        </w:rPr>
        <w:t>in the obligation to exercise due diligence.</w:t>
      </w:r>
      <w:r w:rsidRPr="00B80AAA">
        <w:rPr>
          <w:rStyle w:val="FootnoteReference"/>
          <w:rFonts w:eastAsia="Times New Roman"/>
          <w:lang w:eastAsia="en-TT"/>
        </w:rPr>
        <w:footnoteReference w:id="97"/>
      </w:r>
      <w:r w:rsidRPr="00B80AAA">
        <w:t xml:space="preserve"> In the </w:t>
      </w:r>
      <w:r w:rsidR="00191B7F" w:rsidRPr="00B80AAA">
        <w:t xml:space="preserve">African Commission on Human Rights </w:t>
      </w:r>
      <w:r w:rsidRPr="00B80AAA">
        <w:t xml:space="preserve">case of </w:t>
      </w:r>
      <w:r w:rsidRPr="00B80AAA">
        <w:rPr>
          <w:i/>
        </w:rPr>
        <w:t>SERAC v</w:t>
      </w:r>
      <w:r w:rsidR="00191B7F" w:rsidRPr="00B80AAA">
        <w:rPr>
          <w:i/>
        </w:rPr>
        <w:t>.</w:t>
      </w:r>
      <w:r w:rsidRPr="00B80AAA">
        <w:rPr>
          <w:i/>
        </w:rPr>
        <w:t xml:space="preserve"> Nigeria</w:t>
      </w:r>
      <w:r w:rsidR="00DA36D3" w:rsidRPr="00B80AAA">
        <w:rPr>
          <w:i/>
        </w:rPr>
        <w:t>,</w:t>
      </w:r>
      <w:r w:rsidRPr="00B80AAA">
        <w:rPr>
          <w:rStyle w:val="FootnoteReference"/>
        </w:rPr>
        <w:footnoteReference w:id="98"/>
      </w:r>
      <w:r w:rsidR="00191B7F" w:rsidRPr="00B80AAA">
        <w:rPr>
          <w:i/>
        </w:rPr>
        <w:t xml:space="preserve"> </w:t>
      </w:r>
      <w:r w:rsidR="00191B7F" w:rsidRPr="00B80AAA">
        <w:t>permissible</w:t>
      </w:r>
      <w:r w:rsidR="0061172A" w:rsidRPr="00B80AAA">
        <w:t xml:space="preserve"> by virtue of Article 29</w:t>
      </w:r>
      <w:r w:rsidR="00191B7F" w:rsidRPr="00B80AAA">
        <w:t xml:space="preserve"> of the</w:t>
      </w:r>
      <w:r w:rsidR="00191B7F" w:rsidRPr="00B80AAA">
        <w:rPr>
          <w:i/>
        </w:rPr>
        <w:t xml:space="preserve"> ACHR,</w:t>
      </w:r>
      <w:r w:rsidRPr="00B80AAA">
        <w:t xml:space="preserve"> </w:t>
      </w:r>
      <w:r w:rsidR="00BC11BC" w:rsidRPr="00B80AAA">
        <w:rPr>
          <w:rFonts w:eastAsia="Times New Roman"/>
          <w:lang w:eastAsia="en-TT"/>
        </w:rPr>
        <w:t>the S</w:t>
      </w:r>
      <w:r w:rsidRPr="00B80AAA">
        <w:rPr>
          <w:rFonts w:eastAsia="Times New Roman"/>
          <w:lang w:eastAsia="en-TT"/>
        </w:rPr>
        <w:t xml:space="preserve">tate failed in its obligation to exercise due diligence to protect human rights because its acts and omissions enabled a TNC to engage in internationally wrongful acts. Additionally this duty to exercise due diligence in relation to transnational corporations would be owed extraterritorially in the </w:t>
      </w:r>
      <w:r w:rsidRPr="00B80AAA">
        <w:rPr>
          <w:rFonts w:eastAsia="Times New Roman"/>
          <w:i/>
          <w:lang w:eastAsia="en-TT"/>
        </w:rPr>
        <w:t>ACHR</w:t>
      </w:r>
      <w:r w:rsidRPr="00B80AAA">
        <w:rPr>
          <w:rFonts w:eastAsia="Times New Roman"/>
          <w:lang w:eastAsia="en-TT"/>
        </w:rPr>
        <w:t xml:space="preserve"> as discussed previously in the </w:t>
      </w:r>
      <w:r w:rsidRPr="00B80AAA">
        <w:rPr>
          <w:i/>
          <w:color w:val="000000" w:themeColor="text1"/>
        </w:rPr>
        <w:t>Victor Saldaño v Argentina</w:t>
      </w:r>
      <w:r w:rsidRPr="00B80AAA">
        <w:rPr>
          <w:rStyle w:val="FootnoteReference"/>
          <w:i/>
          <w:color w:val="000000" w:themeColor="text1"/>
        </w:rPr>
        <w:footnoteReference w:id="99"/>
      </w:r>
      <w:r w:rsidRPr="00B80AAA">
        <w:rPr>
          <w:color w:val="000000" w:themeColor="text1"/>
        </w:rPr>
        <w:t xml:space="preserve"> and </w:t>
      </w:r>
      <w:r w:rsidRPr="00B80AAA">
        <w:rPr>
          <w:i/>
          <w:color w:val="000000" w:themeColor="text1"/>
        </w:rPr>
        <w:t>US Interdiction of Haitians on the High Seas</w:t>
      </w:r>
      <w:r w:rsidRPr="00B80AAA">
        <w:rPr>
          <w:rStyle w:val="FootnoteReference"/>
          <w:i/>
          <w:color w:val="000000" w:themeColor="text1"/>
        </w:rPr>
        <w:footnoteReference w:id="100"/>
      </w:r>
      <w:r w:rsidRPr="00B80AAA">
        <w:rPr>
          <w:i/>
          <w:color w:val="000000" w:themeColor="text1"/>
        </w:rPr>
        <w:t xml:space="preserve"> </w:t>
      </w:r>
      <w:r w:rsidRPr="00B80AAA">
        <w:rPr>
          <w:color w:val="000000" w:themeColor="text1"/>
        </w:rPr>
        <w:t>cases.</w:t>
      </w:r>
      <w:r w:rsidRPr="00B80AAA">
        <w:rPr>
          <w:color w:val="000000" w:themeColor="text1"/>
          <w:lang w:val="en-CA"/>
        </w:rPr>
        <w:t xml:space="preserve"> </w:t>
      </w:r>
    </w:p>
    <w:p w:rsidR="009D7430" w:rsidRPr="00B80AAA" w:rsidRDefault="009D7430" w:rsidP="00B80AAA">
      <w:pPr>
        <w:shd w:val="clear" w:color="auto" w:fill="FFFFFF"/>
        <w:spacing w:line="480" w:lineRule="auto"/>
        <w:jc w:val="both"/>
        <w:rPr>
          <w:color w:val="000000" w:themeColor="text1"/>
          <w:lang w:val="en-CA"/>
        </w:rPr>
      </w:pPr>
      <w:r w:rsidRPr="00B80AAA">
        <w:rPr>
          <w:color w:val="000000" w:themeColor="text1"/>
          <w:lang w:val="en-CA"/>
        </w:rPr>
        <w:t xml:space="preserve">In this </w:t>
      </w:r>
      <w:r w:rsidR="006066AF" w:rsidRPr="00B80AAA">
        <w:rPr>
          <w:color w:val="000000" w:themeColor="text1"/>
          <w:lang w:val="en-CA"/>
        </w:rPr>
        <w:t xml:space="preserve">present </w:t>
      </w:r>
      <w:r w:rsidR="00BC11BC" w:rsidRPr="00B80AAA">
        <w:rPr>
          <w:color w:val="000000" w:themeColor="text1"/>
          <w:lang w:val="en-CA"/>
        </w:rPr>
        <w:t>case, Santa Clara the Home St</w:t>
      </w:r>
      <w:r w:rsidRPr="00B80AAA">
        <w:rPr>
          <w:color w:val="000000" w:themeColor="text1"/>
          <w:lang w:val="en-CA"/>
        </w:rPr>
        <w:t>ate, created the Public Foreign Investment Fund (hereinafter “PFIF”</w:t>
      </w:r>
      <w:r w:rsidR="00CE1766" w:rsidRPr="00B80AAA">
        <w:rPr>
          <w:color w:val="000000" w:themeColor="text1"/>
          <w:lang w:val="en-CA"/>
        </w:rPr>
        <w:t>)</w:t>
      </w:r>
      <w:r w:rsidRPr="00B80AAA">
        <w:rPr>
          <w:color w:val="000000" w:themeColor="text1"/>
          <w:lang w:val="en-CA"/>
        </w:rPr>
        <w:t xml:space="preserve"> in 1990</w:t>
      </w:r>
      <w:r w:rsidRPr="00B80AAA">
        <w:rPr>
          <w:rStyle w:val="FootnoteReference"/>
          <w:color w:val="000000" w:themeColor="text1"/>
          <w:lang w:val="en-CA"/>
        </w:rPr>
        <w:footnoteReference w:id="101"/>
      </w:r>
      <w:r w:rsidR="003B4FAF" w:rsidRPr="00B80AAA">
        <w:rPr>
          <w:color w:val="000000" w:themeColor="text1"/>
          <w:lang w:val="en-CA"/>
        </w:rPr>
        <w:t xml:space="preserve"> </w:t>
      </w:r>
      <w:r w:rsidRPr="00B80AAA">
        <w:rPr>
          <w:color w:val="000000" w:themeColor="text1"/>
          <w:lang w:val="en-CA"/>
        </w:rPr>
        <w:t>to fund extractive projects. Miningcorp S.A, a Santa Claran TNC, was a beneficiary, accessing 90% of this fund</w:t>
      </w:r>
      <w:r w:rsidR="00846F6C" w:rsidRPr="00B80AAA">
        <w:rPr>
          <w:color w:val="000000" w:themeColor="text1"/>
          <w:lang w:val="en-CA"/>
        </w:rPr>
        <w:t>.</w:t>
      </w:r>
      <w:r w:rsidRPr="00B80AAA">
        <w:rPr>
          <w:rStyle w:val="FootnoteReference"/>
          <w:color w:val="000000" w:themeColor="text1"/>
          <w:lang w:val="en-CA"/>
        </w:rPr>
        <w:footnoteReference w:id="102"/>
      </w:r>
      <w:r w:rsidR="003B4FAF" w:rsidRPr="00B80AAA">
        <w:rPr>
          <w:color w:val="000000" w:themeColor="text1"/>
          <w:lang w:val="en-CA"/>
        </w:rPr>
        <w:t xml:space="preserve"> </w:t>
      </w:r>
      <w:r w:rsidRPr="00B80AAA">
        <w:rPr>
          <w:color w:val="000000" w:themeColor="text1"/>
          <w:lang w:val="en-CA"/>
        </w:rPr>
        <w:t xml:space="preserve">The State of Santa Clara had sufficient knowledge that the TNC Miningcorp S.A, had a history of funding the training and provision of </w:t>
      </w:r>
      <w:r w:rsidRPr="00B80AAA">
        <w:rPr>
          <w:color w:val="000000" w:themeColor="text1"/>
          <w:lang w:val="en-CA"/>
        </w:rPr>
        <w:lastRenderedPageBreak/>
        <w:t>weapons to militias groups in Northern Madruga</w:t>
      </w:r>
      <w:r w:rsidRPr="00B80AAA">
        <w:rPr>
          <w:rStyle w:val="FootnoteReference"/>
          <w:color w:val="000000" w:themeColor="text1"/>
          <w:lang w:val="en-CA"/>
        </w:rPr>
        <w:footnoteReference w:id="103"/>
      </w:r>
      <w:r w:rsidRPr="00B80AAA">
        <w:rPr>
          <w:color w:val="000000" w:themeColor="text1"/>
          <w:lang w:val="en-CA"/>
        </w:rPr>
        <w:t xml:space="preserve"> and that the creation of the PFIF and Miningcorp</w:t>
      </w:r>
      <w:r w:rsidR="00846F6C" w:rsidRPr="00B80AAA">
        <w:rPr>
          <w:color w:val="000000" w:themeColor="text1"/>
          <w:lang w:val="en-CA"/>
        </w:rPr>
        <w:t xml:space="preserve"> S.A</w:t>
      </w:r>
      <w:r w:rsidRPr="00B80AAA">
        <w:rPr>
          <w:color w:val="000000" w:themeColor="text1"/>
          <w:lang w:val="en-CA"/>
        </w:rPr>
        <w:t>’s subsequent access to it, coincided with the murders of over 500 social leaders</w:t>
      </w:r>
      <w:r w:rsidR="00846F6C" w:rsidRPr="00B80AAA">
        <w:rPr>
          <w:color w:val="000000" w:themeColor="text1"/>
          <w:lang w:val="en-CA"/>
        </w:rPr>
        <w:t xml:space="preserve"> and trade unionists</w:t>
      </w:r>
      <w:r w:rsidRPr="00B80AAA">
        <w:rPr>
          <w:color w:val="000000" w:themeColor="text1"/>
          <w:lang w:val="en-CA"/>
        </w:rPr>
        <w:t>,</w:t>
      </w:r>
      <w:r w:rsidRPr="00B80AAA">
        <w:rPr>
          <w:rStyle w:val="FootnoteReference"/>
          <w:color w:val="000000" w:themeColor="text1"/>
          <w:lang w:val="en-CA"/>
        </w:rPr>
        <w:footnoteReference w:id="104"/>
      </w:r>
      <w:r w:rsidRPr="00B80AAA">
        <w:rPr>
          <w:color w:val="000000" w:themeColor="text1"/>
          <w:lang w:val="en-CA"/>
        </w:rPr>
        <w:t xml:space="preserve"> including Edmundo Camana</w:t>
      </w:r>
      <w:r w:rsidR="00DF2FCB" w:rsidRPr="00B80AAA">
        <w:rPr>
          <w:color w:val="000000" w:themeColor="text1"/>
          <w:lang w:val="en-CA"/>
        </w:rPr>
        <w:t>.</w:t>
      </w:r>
      <w:r w:rsidRPr="00B80AAA">
        <w:rPr>
          <w:rStyle w:val="FootnoteReference"/>
          <w:color w:val="000000" w:themeColor="text1"/>
          <w:lang w:val="en-CA"/>
        </w:rPr>
        <w:footnoteReference w:id="105"/>
      </w:r>
      <w:r w:rsidRPr="00B80AAA">
        <w:rPr>
          <w:color w:val="000000" w:themeColor="text1"/>
          <w:lang w:val="en-CA"/>
        </w:rPr>
        <w:t xml:space="preserve"> The State of Santa Clara in light of this had the duty to prevent and mitigate risk, however it failed. This failure resulted in its violation of the right to life of Edmundo Camana and his family.</w:t>
      </w:r>
      <w:r w:rsidR="0092741A" w:rsidRPr="00B80AAA">
        <w:rPr>
          <w:color w:val="000000" w:themeColor="text1"/>
          <w:lang w:val="en-CA"/>
        </w:rPr>
        <w:t xml:space="preserve"> Additionally</w:t>
      </w:r>
      <w:r w:rsidRPr="00B80AAA">
        <w:rPr>
          <w:color w:val="000000" w:themeColor="text1"/>
          <w:lang w:val="en-CA"/>
        </w:rPr>
        <w:t>, Santa Clara, failed in its obligation to exercise of due diligence</w:t>
      </w:r>
      <w:r w:rsidR="00DF2FCB" w:rsidRPr="00B80AAA">
        <w:rPr>
          <w:color w:val="000000" w:themeColor="text1"/>
          <w:lang w:val="en-CA"/>
        </w:rPr>
        <w:t>,</w:t>
      </w:r>
      <w:r w:rsidRPr="00B80AAA">
        <w:rPr>
          <w:rStyle w:val="FootnoteReference"/>
          <w:color w:val="000000" w:themeColor="text1"/>
          <w:lang w:val="en"/>
        </w:rPr>
        <w:footnoteReference w:id="106"/>
      </w:r>
      <w:r w:rsidRPr="00B80AAA">
        <w:rPr>
          <w:color w:val="000000" w:themeColor="text1"/>
          <w:lang w:val="en-CA"/>
        </w:rPr>
        <w:t xml:space="preserve"> </w:t>
      </w:r>
      <w:r w:rsidRPr="00B80AAA">
        <w:rPr>
          <w:rFonts w:eastAsia="Times New Roman"/>
          <w:lang w:eastAsia="en-TT"/>
        </w:rPr>
        <w:t>as it</w:t>
      </w:r>
      <w:r w:rsidR="00DF2FCB" w:rsidRPr="00B80AAA">
        <w:rPr>
          <w:rFonts w:eastAsia="Times New Roman"/>
          <w:lang w:eastAsia="en-TT"/>
        </w:rPr>
        <w:t>s</w:t>
      </w:r>
      <w:r w:rsidRPr="00B80AAA">
        <w:rPr>
          <w:rFonts w:eastAsia="Times New Roman"/>
          <w:lang w:eastAsia="en-TT"/>
        </w:rPr>
        <w:t xml:space="preserve"> act of funding, and its omission </w:t>
      </w:r>
      <w:r w:rsidRPr="00B80AAA">
        <w:rPr>
          <w:color w:val="000000" w:themeColor="text1"/>
          <w:lang w:val="en-CA"/>
        </w:rPr>
        <w:t>in periodically reviewing of how loans from the PFIF were by the borrower corporations,</w:t>
      </w:r>
      <w:r w:rsidRPr="00B80AAA">
        <w:rPr>
          <w:rStyle w:val="FootnoteReference"/>
          <w:color w:val="000000" w:themeColor="text1"/>
          <w:lang w:val="en-CA"/>
        </w:rPr>
        <w:footnoteReference w:id="107"/>
      </w:r>
      <w:r w:rsidRPr="00B80AAA">
        <w:rPr>
          <w:color w:val="000000" w:themeColor="text1"/>
          <w:lang w:val="en-CA"/>
        </w:rPr>
        <w:t xml:space="preserve"> </w:t>
      </w:r>
      <w:r w:rsidRPr="00B80AAA">
        <w:rPr>
          <w:rFonts w:eastAsia="Times New Roman"/>
          <w:lang w:eastAsia="en-TT"/>
        </w:rPr>
        <w:t>enabled a TNC to engage in internationally wrongful acts.</w:t>
      </w:r>
    </w:p>
    <w:p w:rsidR="005E5237" w:rsidRPr="00B80AAA" w:rsidRDefault="00ED0CD2" w:rsidP="00B80AAA">
      <w:pPr>
        <w:spacing w:line="480" w:lineRule="auto"/>
        <w:jc w:val="both"/>
        <w:rPr>
          <w:color w:val="000000" w:themeColor="text1"/>
        </w:rPr>
      </w:pPr>
      <w:r w:rsidRPr="00B80AAA">
        <w:rPr>
          <w:rFonts w:eastAsia="Times New Roman"/>
          <w:color w:val="000000" w:themeColor="text1"/>
          <w:lang w:eastAsia="en-TT"/>
        </w:rPr>
        <w:t xml:space="preserve">Furthermore </w:t>
      </w:r>
      <w:r w:rsidR="00737915" w:rsidRPr="00B80AAA">
        <w:rPr>
          <w:rFonts w:eastAsia="Times New Roman"/>
          <w:color w:val="000000" w:themeColor="text1"/>
          <w:lang w:eastAsia="en-TT"/>
        </w:rPr>
        <w:t xml:space="preserve">Santa Clara, like the State </w:t>
      </w:r>
      <w:r w:rsidR="00255BDF" w:rsidRPr="00B80AAA">
        <w:rPr>
          <w:rFonts w:eastAsia="Times New Roman"/>
          <w:color w:val="000000" w:themeColor="text1"/>
          <w:lang w:eastAsia="en-TT"/>
        </w:rPr>
        <w:t xml:space="preserve">of </w:t>
      </w:r>
      <w:r w:rsidR="00737915" w:rsidRPr="00B80AAA">
        <w:rPr>
          <w:rFonts w:eastAsia="Times New Roman"/>
          <w:color w:val="000000" w:themeColor="text1"/>
          <w:lang w:eastAsia="en-TT"/>
        </w:rPr>
        <w:t xml:space="preserve">Colombia </w:t>
      </w:r>
      <w:r w:rsidR="004F6092" w:rsidRPr="00B80AAA">
        <w:rPr>
          <w:rFonts w:eastAsia="Times New Roman"/>
          <w:color w:val="000000" w:themeColor="text1"/>
          <w:lang w:eastAsia="en-TT"/>
        </w:rPr>
        <w:t>in the</w:t>
      </w:r>
      <w:r w:rsidR="00255BDF" w:rsidRPr="00B80AAA">
        <w:rPr>
          <w:rFonts w:eastAsia="Times New Roman"/>
          <w:color w:val="000000" w:themeColor="text1"/>
          <w:lang w:eastAsia="en-TT"/>
        </w:rPr>
        <w:t xml:space="preserve"> </w:t>
      </w:r>
      <w:r w:rsidR="00737915" w:rsidRPr="00B80AAA">
        <w:rPr>
          <w:i/>
          <w:color w:val="000000" w:themeColor="text1"/>
        </w:rPr>
        <w:t>Pueblo Bello Massacre v. Colombia</w:t>
      </w:r>
      <w:r w:rsidR="00737915" w:rsidRPr="00B80AAA">
        <w:rPr>
          <w:rStyle w:val="FootnoteReference"/>
          <w:color w:val="000000" w:themeColor="text1"/>
        </w:rPr>
        <w:footnoteReference w:id="108"/>
      </w:r>
      <w:r w:rsidR="003B4FAF" w:rsidRPr="00B80AAA">
        <w:rPr>
          <w:i/>
          <w:color w:val="000000" w:themeColor="text1"/>
        </w:rPr>
        <w:t xml:space="preserve"> </w:t>
      </w:r>
      <w:r w:rsidR="00255BDF" w:rsidRPr="00B80AAA">
        <w:rPr>
          <w:color w:val="000000" w:themeColor="text1"/>
        </w:rPr>
        <w:t>case</w:t>
      </w:r>
      <w:r w:rsidR="004F6092" w:rsidRPr="00B80AAA">
        <w:rPr>
          <w:color w:val="000000" w:themeColor="text1"/>
        </w:rPr>
        <w:t>,</w:t>
      </w:r>
      <w:r w:rsidR="00255BDF" w:rsidRPr="00B80AAA">
        <w:rPr>
          <w:color w:val="000000" w:themeColor="text1"/>
        </w:rPr>
        <w:t xml:space="preserve"> </w:t>
      </w:r>
      <w:r w:rsidR="00737915" w:rsidRPr="00B80AAA">
        <w:rPr>
          <w:color w:val="000000" w:themeColor="text1"/>
        </w:rPr>
        <w:t>used its power and authority to enact legislation wh</w:t>
      </w:r>
      <w:r w:rsidR="007C53B7" w:rsidRPr="00B80AAA">
        <w:rPr>
          <w:color w:val="000000" w:themeColor="text1"/>
        </w:rPr>
        <w:t>ich posed a “foreseeable risk of death</w:t>
      </w:r>
      <w:r w:rsidR="00737915" w:rsidRPr="00B80AAA">
        <w:rPr>
          <w:color w:val="000000" w:themeColor="text1"/>
        </w:rPr>
        <w:t>” and allowed</w:t>
      </w:r>
      <w:r w:rsidR="00737915" w:rsidRPr="00B80AAA">
        <w:rPr>
          <w:color w:val="000000" w:themeColor="text1"/>
          <w:lang w:val="en"/>
        </w:rPr>
        <w:t xml:space="preserve"> militias to act legitimately with the enacting of the </w:t>
      </w:r>
      <w:r w:rsidR="00737915" w:rsidRPr="00B80AAA">
        <w:rPr>
          <w:i/>
          <w:color w:val="000000" w:themeColor="text1"/>
        </w:rPr>
        <w:t>Hemispheric Security Act.</w:t>
      </w:r>
      <w:r w:rsidR="00737915" w:rsidRPr="00B80AAA">
        <w:rPr>
          <w:rStyle w:val="FootnoteReference"/>
          <w:color w:val="000000" w:themeColor="text1"/>
        </w:rPr>
        <w:footnoteReference w:id="109"/>
      </w:r>
      <w:r w:rsidR="00737915" w:rsidRPr="00B80AAA">
        <w:rPr>
          <w:i/>
          <w:color w:val="000000" w:themeColor="text1"/>
        </w:rPr>
        <w:t xml:space="preserve"> </w:t>
      </w:r>
      <w:r w:rsidR="00737915" w:rsidRPr="00B80AAA">
        <w:rPr>
          <w:color w:val="000000" w:themeColor="text1"/>
          <w:lang w:val="en"/>
        </w:rPr>
        <w:t>Despite eventually repealing this legislation, Santa Clara,</w:t>
      </w:r>
      <w:r w:rsidR="007C53B7" w:rsidRPr="00B80AAA">
        <w:rPr>
          <w:color w:val="000000" w:themeColor="text1"/>
          <w:lang w:val="en"/>
        </w:rPr>
        <w:t xml:space="preserve"> </w:t>
      </w:r>
      <w:r w:rsidRPr="00B80AAA">
        <w:rPr>
          <w:color w:val="000000" w:themeColor="text1"/>
          <w:lang w:val="en"/>
        </w:rPr>
        <w:t xml:space="preserve">through </w:t>
      </w:r>
      <w:r w:rsidR="007C53B7" w:rsidRPr="00B80AAA">
        <w:rPr>
          <w:color w:val="000000" w:themeColor="text1"/>
          <w:lang w:val="en"/>
        </w:rPr>
        <w:t xml:space="preserve">Miningcorp S.A </w:t>
      </w:r>
      <w:r w:rsidR="00737915" w:rsidRPr="00B80AAA">
        <w:rPr>
          <w:color w:val="000000" w:themeColor="text1"/>
          <w:lang w:val="en"/>
        </w:rPr>
        <w:t xml:space="preserve">continued funding the activities of the militias to protect their investments in Northern Madruga </w:t>
      </w:r>
      <w:r w:rsidRPr="00B80AAA">
        <w:rPr>
          <w:color w:val="000000" w:themeColor="text1"/>
          <w:lang w:val="en"/>
        </w:rPr>
        <w:t xml:space="preserve">creating a </w:t>
      </w:r>
      <w:r w:rsidR="007C53B7" w:rsidRPr="00B80AAA">
        <w:rPr>
          <w:color w:val="000000" w:themeColor="text1"/>
        </w:rPr>
        <w:t>“foreseeable risk of death</w:t>
      </w:r>
      <w:r w:rsidR="00737915" w:rsidRPr="00B80AAA">
        <w:rPr>
          <w:color w:val="000000" w:themeColor="text1"/>
        </w:rPr>
        <w:t>”</w:t>
      </w:r>
      <w:r w:rsidR="007C53B7" w:rsidRPr="00B80AAA">
        <w:rPr>
          <w:color w:val="000000" w:themeColor="text1"/>
        </w:rPr>
        <w:t xml:space="preserve"> as seen in the </w:t>
      </w:r>
      <w:r w:rsidR="007C53B7" w:rsidRPr="00B80AAA">
        <w:rPr>
          <w:i/>
          <w:color w:val="000000" w:themeColor="text1"/>
        </w:rPr>
        <w:t xml:space="preserve">US Interdiction </w:t>
      </w:r>
      <w:r w:rsidR="001D5C8B" w:rsidRPr="00B80AAA">
        <w:rPr>
          <w:i/>
          <w:color w:val="000000" w:themeColor="text1"/>
        </w:rPr>
        <w:t xml:space="preserve">of Haitians on </w:t>
      </w:r>
      <w:r w:rsidR="00670345" w:rsidRPr="00B80AAA">
        <w:rPr>
          <w:i/>
          <w:color w:val="000000" w:themeColor="text1"/>
        </w:rPr>
        <w:t>High Seas</w:t>
      </w:r>
      <w:r w:rsidR="00670345" w:rsidRPr="00B80AAA">
        <w:rPr>
          <w:rStyle w:val="FootnoteReference"/>
          <w:i/>
          <w:color w:val="000000" w:themeColor="text1"/>
        </w:rPr>
        <w:footnoteReference w:id="110"/>
      </w:r>
      <w:r w:rsidR="00670345" w:rsidRPr="00B80AAA">
        <w:rPr>
          <w:color w:val="000000" w:themeColor="text1"/>
        </w:rPr>
        <w:t xml:space="preserve"> case.  This is the risk that </w:t>
      </w:r>
      <w:r w:rsidR="00737915" w:rsidRPr="00B80AAA">
        <w:rPr>
          <w:color w:val="000000" w:themeColor="text1"/>
        </w:rPr>
        <w:t>Edmundo Camana, who had led campaigns alerting the public to the potential</w:t>
      </w:r>
      <w:r w:rsidR="00DF2FCB" w:rsidRPr="00B80AAA">
        <w:rPr>
          <w:color w:val="000000" w:themeColor="text1"/>
        </w:rPr>
        <w:t xml:space="preserve"> links between mining companies and</w:t>
      </w:r>
      <w:r w:rsidR="00737915" w:rsidRPr="00B80AAA">
        <w:rPr>
          <w:color w:val="000000" w:themeColor="text1"/>
        </w:rPr>
        <w:t xml:space="preserve"> the murder</w:t>
      </w:r>
      <w:r w:rsidR="00DF2FCB" w:rsidRPr="00B80AAA">
        <w:rPr>
          <w:color w:val="000000" w:themeColor="text1"/>
        </w:rPr>
        <w:t>s</w:t>
      </w:r>
      <w:r w:rsidR="00737915" w:rsidRPr="00B80AAA">
        <w:rPr>
          <w:color w:val="000000" w:themeColor="text1"/>
        </w:rPr>
        <w:t xml:space="preserve"> of t</w:t>
      </w:r>
      <w:r w:rsidR="00670345" w:rsidRPr="00B80AAA">
        <w:rPr>
          <w:color w:val="000000" w:themeColor="text1"/>
        </w:rPr>
        <w:t xml:space="preserve">rade unionists </w:t>
      </w:r>
      <w:r w:rsidR="00DF2FCB" w:rsidRPr="00B80AAA">
        <w:rPr>
          <w:color w:val="000000" w:themeColor="text1"/>
        </w:rPr>
        <w:t xml:space="preserve">by </w:t>
      </w:r>
      <w:r w:rsidR="00670345" w:rsidRPr="00B80AAA">
        <w:rPr>
          <w:color w:val="000000" w:themeColor="text1"/>
        </w:rPr>
        <w:t>militias</w:t>
      </w:r>
      <w:r w:rsidR="003B4FAF" w:rsidRPr="00B80AAA">
        <w:rPr>
          <w:color w:val="000000" w:themeColor="text1"/>
        </w:rPr>
        <w:t>,</w:t>
      </w:r>
      <w:r w:rsidR="00737915" w:rsidRPr="00B80AAA">
        <w:rPr>
          <w:rStyle w:val="FootnoteReference"/>
          <w:color w:val="000000" w:themeColor="text1"/>
        </w:rPr>
        <w:footnoteReference w:id="111"/>
      </w:r>
      <w:r w:rsidR="0092741A" w:rsidRPr="00B80AAA">
        <w:rPr>
          <w:color w:val="000000" w:themeColor="text1"/>
        </w:rPr>
        <w:t xml:space="preserve">and his </w:t>
      </w:r>
      <w:r w:rsidR="006428A2" w:rsidRPr="00B80AAA">
        <w:rPr>
          <w:color w:val="000000" w:themeColor="text1"/>
        </w:rPr>
        <w:t>family</w:t>
      </w:r>
      <w:r w:rsidR="00BE4F3D" w:rsidRPr="00B80AAA">
        <w:rPr>
          <w:color w:val="000000" w:themeColor="text1"/>
        </w:rPr>
        <w:t xml:space="preserve"> </w:t>
      </w:r>
      <w:r w:rsidR="00670345" w:rsidRPr="00B80AAA">
        <w:rPr>
          <w:color w:val="000000" w:themeColor="text1"/>
        </w:rPr>
        <w:t xml:space="preserve">faced. </w:t>
      </w:r>
      <w:r w:rsidR="00737915" w:rsidRPr="00B80AAA">
        <w:rPr>
          <w:color w:val="000000" w:themeColor="text1"/>
        </w:rPr>
        <w:t>Even if the murders were not dir</w:t>
      </w:r>
      <w:r w:rsidR="00C56FD1" w:rsidRPr="00B80AAA">
        <w:rPr>
          <w:color w:val="000000" w:themeColor="text1"/>
        </w:rPr>
        <w:t xml:space="preserve">ectly committed by the Los </w:t>
      </w:r>
      <w:r w:rsidR="00C56FD1" w:rsidRPr="00B80AAA">
        <w:rPr>
          <w:color w:val="000000" w:themeColor="text1"/>
        </w:rPr>
        <w:lastRenderedPageBreak/>
        <w:t>Oliv</w:t>
      </w:r>
      <w:r w:rsidR="00737915" w:rsidRPr="00B80AAA">
        <w:rPr>
          <w:color w:val="000000" w:themeColor="text1"/>
        </w:rPr>
        <w:t>os militia group which it funded, Santa Clara was crucial in the formation of other militia groups</w:t>
      </w:r>
      <w:r w:rsidR="00737915" w:rsidRPr="00B80AAA">
        <w:rPr>
          <w:rStyle w:val="FootnoteReference"/>
          <w:color w:val="000000" w:themeColor="text1"/>
        </w:rPr>
        <w:footnoteReference w:id="112"/>
      </w:r>
      <w:r w:rsidR="003B4FAF" w:rsidRPr="00B80AAA">
        <w:rPr>
          <w:color w:val="000000" w:themeColor="text1"/>
        </w:rPr>
        <w:t xml:space="preserve"> </w:t>
      </w:r>
      <w:r w:rsidR="00737915" w:rsidRPr="00B80AAA">
        <w:rPr>
          <w:color w:val="000000" w:themeColor="text1"/>
        </w:rPr>
        <w:t>and financing Madrugan ministries which promoted the culture of impunity.</w:t>
      </w:r>
      <w:r w:rsidR="00737915" w:rsidRPr="00B80AAA">
        <w:rPr>
          <w:rStyle w:val="FootnoteReference"/>
          <w:color w:val="000000" w:themeColor="text1"/>
        </w:rPr>
        <w:footnoteReference w:id="113"/>
      </w:r>
      <w:r w:rsidR="00737915" w:rsidRPr="00B80AAA">
        <w:rPr>
          <w:color w:val="000000" w:themeColor="text1"/>
        </w:rPr>
        <w:t xml:space="preserve"> </w:t>
      </w:r>
    </w:p>
    <w:p w:rsidR="00737915" w:rsidRPr="00B80AAA" w:rsidRDefault="00ED0CD2" w:rsidP="00B80AAA">
      <w:pPr>
        <w:spacing w:line="480" w:lineRule="auto"/>
        <w:jc w:val="both"/>
        <w:rPr>
          <w:color w:val="000000" w:themeColor="text1"/>
        </w:rPr>
      </w:pPr>
      <w:r w:rsidRPr="00B80AAA">
        <w:rPr>
          <w:color w:val="000000" w:themeColor="text1"/>
        </w:rPr>
        <w:t xml:space="preserve">Additionally </w:t>
      </w:r>
      <w:r w:rsidR="00737915" w:rsidRPr="00B80AAA">
        <w:rPr>
          <w:color w:val="000000" w:themeColor="text1"/>
        </w:rPr>
        <w:t xml:space="preserve">in 2001 documents were leaked showing that Miningcorp S.A, under the financial direction of Eliot Klein, had funded militia groups in Northern Madruga from 1990-1998; the same period in which the </w:t>
      </w:r>
      <w:r w:rsidR="00D17734" w:rsidRPr="00B80AAA">
        <w:rPr>
          <w:color w:val="000000" w:themeColor="text1"/>
        </w:rPr>
        <w:t xml:space="preserve">PFIF </w:t>
      </w:r>
      <w:r w:rsidR="00737915" w:rsidRPr="00B80AAA">
        <w:rPr>
          <w:color w:val="000000" w:themeColor="text1"/>
        </w:rPr>
        <w:t xml:space="preserve">was created and Edmundo Camana, </w:t>
      </w:r>
      <w:r w:rsidR="006428A2" w:rsidRPr="00B80AAA">
        <w:rPr>
          <w:color w:val="000000" w:themeColor="text1"/>
        </w:rPr>
        <w:t xml:space="preserve">Teresa Osorio </w:t>
      </w:r>
      <w:r w:rsidR="00670345" w:rsidRPr="00B80AAA">
        <w:rPr>
          <w:color w:val="000000" w:themeColor="text1"/>
        </w:rPr>
        <w:t xml:space="preserve">and </w:t>
      </w:r>
      <w:r w:rsidR="006428A2" w:rsidRPr="00B80AAA">
        <w:rPr>
          <w:color w:val="000000" w:themeColor="text1"/>
        </w:rPr>
        <w:t xml:space="preserve">their </w:t>
      </w:r>
      <w:r w:rsidRPr="00B80AAA">
        <w:rPr>
          <w:color w:val="000000" w:themeColor="text1"/>
        </w:rPr>
        <w:t xml:space="preserve">two </w:t>
      </w:r>
      <w:r w:rsidR="006428A2" w:rsidRPr="00B80AAA">
        <w:rPr>
          <w:color w:val="000000" w:themeColor="text1"/>
        </w:rPr>
        <w:t xml:space="preserve">children </w:t>
      </w:r>
      <w:r w:rsidR="00737915" w:rsidRPr="00B80AAA">
        <w:rPr>
          <w:color w:val="000000" w:themeColor="text1"/>
        </w:rPr>
        <w:t>were killed. Despite this evidence Santa Clara failed to investigate effectively the possible links between the three events. Similarly, with respect to the murder of Lucia Camana in 2002, Santa Clara failed to effectively investigate</w:t>
      </w:r>
      <w:r w:rsidR="00456831" w:rsidRPr="00B80AAA">
        <w:rPr>
          <w:color w:val="000000" w:themeColor="text1"/>
        </w:rPr>
        <w:t xml:space="preserve"> the link between the weapon and </w:t>
      </w:r>
      <w:r w:rsidR="00456831" w:rsidRPr="00B80AAA">
        <w:rPr>
          <w:i/>
          <w:color w:val="000000" w:themeColor="text1"/>
        </w:rPr>
        <w:t>modus operandi</w:t>
      </w:r>
      <w:r w:rsidR="00456831" w:rsidRPr="00B80AAA">
        <w:rPr>
          <w:color w:val="000000" w:themeColor="text1"/>
        </w:rPr>
        <w:t xml:space="preserve"> used in her murder and the murders of her relatives in 1994.</w:t>
      </w:r>
      <w:r w:rsidR="00456831" w:rsidRPr="00B80AAA">
        <w:rPr>
          <w:rStyle w:val="FootnoteReference"/>
          <w:color w:val="000000" w:themeColor="text1"/>
        </w:rPr>
        <w:footnoteReference w:id="114"/>
      </w:r>
      <w:r w:rsidR="00737915" w:rsidRPr="00B80AAA">
        <w:rPr>
          <w:color w:val="000000" w:themeColor="text1"/>
        </w:rPr>
        <w:t xml:space="preserve"> </w:t>
      </w:r>
      <w:r w:rsidR="00456831" w:rsidRPr="00B80AAA">
        <w:rPr>
          <w:color w:val="000000" w:themeColor="text1"/>
        </w:rPr>
        <w:t xml:space="preserve">Santa Clara also failed to investigate Colonel </w:t>
      </w:r>
      <w:r w:rsidR="00737915" w:rsidRPr="00B80AAA">
        <w:rPr>
          <w:color w:val="000000" w:themeColor="text1"/>
        </w:rPr>
        <w:t xml:space="preserve">David Nelson, a Deputy Military Attaché of Santa Clara to Madruga’s Embassy, and his meetings with </w:t>
      </w:r>
      <w:r w:rsidR="00C56FD1" w:rsidRPr="00B80AAA">
        <w:rPr>
          <w:color w:val="000000" w:themeColor="text1"/>
        </w:rPr>
        <w:t xml:space="preserve">Los Olivos </w:t>
      </w:r>
      <w:r w:rsidR="00885537" w:rsidRPr="00B80AAA">
        <w:rPr>
          <w:color w:val="000000" w:themeColor="text1"/>
        </w:rPr>
        <w:t xml:space="preserve">in Miningcorp S.A’s offices in San Blas </w:t>
      </w:r>
      <w:r w:rsidR="00737915" w:rsidRPr="00B80AAA">
        <w:rPr>
          <w:color w:val="000000" w:themeColor="text1"/>
        </w:rPr>
        <w:t>which coincided with her murder.</w:t>
      </w:r>
      <w:r w:rsidR="00737915" w:rsidRPr="00B80AAA">
        <w:rPr>
          <w:rStyle w:val="FootnoteReference"/>
          <w:color w:val="000000" w:themeColor="text1"/>
        </w:rPr>
        <w:footnoteReference w:id="115"/>
      </w:r>
      <w:r w:rsidR="00737915" w:rsidRPr="00B80AAA">
        <w:rPr>
          <w:color w:val="000000" w:themeColor="text1"/>
        </w:rPr>
        <w:t xml:space="preserve"> </w:t>
      </w:r>
      <w:r w:rsidR="00CF0D14" w:rsidRPr="00B80AAA">
        <w:rPr>
          <w:color w:val="000000" w:themeColor="text1"/>
        </w:rPr>
        <w:t xml:space="preserve">These meetings were not overt and in keeping with the duties and responsibilities of a </w:t>
      </w:r>
      <w:r w:rsidR="00670345" w:rsidRPr="00B80AAA">
        <w:rPr>
          <w:color w:val="000000" w:themeColor="text1"/>
        </w:rPr>
        <w:t>military attaché</w:t>
      </w:r>
      <w:r w:rsidR="00CF0D14" w:rsidRPr="00B80AAA">
        <w:rPr>
          <w:color w:val="000000" w:themeColor="text1"/>
        </w:rPr>
        <w:t xml:space="preserve"> to a foreign country’s embassy</w:t>
      </w:r>
      <w:r w:rsidR="00670345" w:rsidRPr="00B80AAA">
        <w:rPr>
          <w:color w:val="000000" w:themeColor="text1"/>
        </w:rPr>
        <w:t>.</w:t>
      </w:r>
      <w:r w:rsidR="00670345" w:rsidRPr="00B80AAA">
        <w:rPr>
          <w:rStyle w:val="FootnoteReference"/>
          <w:color w:val="000000" w:themeColor="text1"/>
        </w:rPr>
        <w:footnoteReference w:id="116"/>
      </w:r>
      <w:r w:rsidR="00670345" w:rsidRPr="00B80AAA">
        <w:rPr>
          <w:color w:val="000000" w:themeColor="text1"/>
        </w:rPr>
        <w:t xml:space="preserve"> </w:t>
      </w:r>
      <w:r w:rsidR="00737915" w:rsidRPr="00B80AAA">
        <w:rPr>
          <w:color w:val="000000" w:themeColor="text1"/>
        </w:rPr>
        <w:t>Thus Santa Clara has violated the right to life with respect to the Edmundo Camana and his family in conjunction with Article</w:t>
      </w:r>
      <w:r w:rsidR="00670345" w:rsidRPr="00B80AAA">
        <w:rPr>
          <w:color w:val="000000" w:themeColor="text1"/>
        </w:rPr>
        <w:t>s</w:t>
      </w:r>
      <w:r w:rsidR="00737915" w:rsidRPr="00B80AAA">
        <w:rPr>
          <w:color w:val="000000" w:themeColor="text1"/>
        </w:rPr>
        <w:t xml:space="preserve"> 1(1)</w:t>
      </w:r>
      <w:r w:rsidR="00670345" w:rsidRPr="00B80AAA">
        <w:rPr>
          <w:color w:val="000000" w:themeColor="text1"/>
        </w:rPr>
        <w:t xml:space="preserve"> and 2 </w:t>
      </w:r>
      <w:r w:rsidR="00737915" w:rsidRPr="00B80AAA">
        <w:rPr>
          <w:color w:val="000000" w:themeColor="text1"/>
        </w:rPr>
        <w:t>of the</w:t>
      </w:r>
      <w:r w:rsidR="00737915" w:rsidRPr="00B80AAA">
        <w:rPr>
          <w:i/>
          <w:color w:val="000000" w:themeColor="text1"/>
        </w:rPr>
        <w:t xml:space="preserve"> ACHR</w:t>
      </w:r>
      <w:r w:rsidR="00737915" w:rsidRPr="00B80AAA">
        <w:rPr>
          <w:color w:val="000000" w:themeColor="text1"/>
        </w:rPr>
        <w:t>.</w:t>
      </w:r>
    </w:p>
    <w:p w:rsidR="00737915" w:rsidRPr="00B80AAA" w:rsidRDefault="00737915" w:rsidP="00B80AAA">
      <w:pPr>
        <w:pStyle w:val="Heading3"/>
        <w:spacing w:line="480" w:lineRule="auto"/>
        <w:jc w:val="both"/>
        <w:rPr>
          <w:rFonts w:ascii="Times New Roman" w:eastAsia="Times New Roman" w:hAnsi="Times New Roman" w:cs="Times New Roman"/>
          <w:i/>
          <w:color w:val="000000" w:themeColor="text1"/>
          <w:lang w:eastAsia="en-TT"/>
        </w:rPr>
      </w:pPr>
      <w:bookmarkStart w:id="35" w:name="_Toc440048745"/>
      <w:bookmarkStart w:id="36" w:name="_Toc440366951"/>
      <w:bookmarkStart w:id="37" w:name="_Toc441798777"/>
      <w:bookmarkStart w:id="38" w:name="_Toc446831633"/>
      <w:r w:rsidRPr="00B80AAA">
        <w:rPr>
          <w:rFonts w:ascii="Times New Roman" w:eastAsia="Times New Roman" w:hAnsi="Times New Roman" w:cs="Times New Roman"/>
          <w:i/>
          <w:color w:val="000000" w:themeColor="text1"/>
          <w:lang w:eastAsia="en-TT"/>
        </w:rPr>
        <w:lastRenderedPageBreak/>
        <w:t xml:space="preserve">3.3.2 </w:t>
      </w:r>
      <w:bookmarkEnd w:id="35"/>
      <w:bookmarkEnd w:id="36"/>
      <w:r w:rsidR="001C70A3" w:rsidRPr="00B80AAA">
        <w:rPr>
          <w:rFonts w:ascii="Times New Roman" w:eastAsia="Times New Roman" w:hAnsi="Times New Roman" w:cs="Times New Roman"/>
          <w:i/>
          <w:color w:val="000000" w:themeColor="text1"/>
          <w:lang w:eastAsia="en-TT"/>
        </w:rPr>
        <w:t>Article 5</w:t>
      </w:r>
      <w:r w:rsidRPr="00B80AAA">
        <w:rPr>
          <w:rFonts w:ascii="Times New Roman" w:eastAsia="Times New Roman" w:hAnsi="Times New Roman" w:cs="Times New Roman"/>
          <w:i/>
          <w:color w:val="000000" w:themeColor="text1"/>
          <w:lang w:eastAsia="en-TT"/>
        </w:rPr>
        <w:t>- Violation of the Right to Humane Treatment in respect of Edmundo Camana and his Family</w:t>
      </w:r>
      <w:bookmarkEnd w:id="37"/>
      <w:bookmarkEnd w:id="38"/>
    </w:p>
    <w:p w:rsidR="00737915" w:rsidRPr="00B80AAA" w:rsidRDefault="00737915" w:rsidP="00B80AAA">
      <w:pPr>
        <w:spacing w:line="480" w:lineRule="auto"/>
        <w:jc w:val="both"/>
        <w:rPr>
          <w:color w:val="000000" w:themeColor="text1"/>
        </w:rPr>
      </w:pPr>
      <w:r w:rsidRPr="00B80AAA">
        <w:rPr>
          <w:color w:val="000000" w:themeColor="text1"/>
        </w:rPr>
        <w:t xml:space="preserve">Article 5(1) and (2) of the </w:t>
      </w:r>
      <w:r w:rsidRPr="00B80AAA">
        <w:rPr>
          <w:i/>
          <w:color w:val="000000" w:themeColor="text1"/>
        </w:rPr>
        <w:t>Convention</w:t>
      </w:r>
      <w:r w:rsidRPr="00B80AAA">
        <w:rPr>
          <w:rStyle w:val="FootnoteReference"/>
          <w:color w:val="000000" w:themeColor="text1"/>
        </w:rPr>
        <w:footnoteReference w:id="117"/>
      </w:r>
      <w:r w:rsidRPr="00B80AAA">
        <w:rPr>
          <w:color w:val="000000" w:themeColor="text1"/>
        </w:rPr>
        <w:t xml:space="preserve"> recognizes that “every person has the right to have his physical, mental, and moral integrity respected.” In the case of </w:t>
      </w:r>
      <w:r w:rsidR="0023780F" w:rsidRPr="00B80AAA">
        <w:rPr>
          <w:i/>
          <w:color w:val="000000" w:themeColor="text1"/>
        </w:rPr>
        <w:t>Baldeó</w:t>
      </w:r>
      <w:r w:rsidRPr="00B80AAA">
        <w:rPr>
          <w:i/>
          <w:color w:val="000000" w:themeColor="text1"/>
        </w:rPr>
        <w:t>n</w:t>
      </w:r>
      <w:r w:rsidR="003071A4" w:rsidRPr="00B80AAA">
        <w:rPr>
          <w:i/>
          <w:color w:val="000000" w:themeColor="text1"/>
        </w:rPr>
        <w:t>-</w:t>
      </w:r>
      <w:r w:rsidR="0023780F" w:rsidRPr="00B80AAA">
        <w:rPr>
          <w:i/>
          <w:color w:val="000000" w:themeColor="text1"/>
        </w:rPr>
        <w:t xml:space="preserve"> Garcí</w:t>
      </w:r>
      <w:r w:rsidR="00885537" w:rsidRPr="00B80AAA">
        <w:rPr>
          <w:i/>
          <w:color w:val="000000" w:themeColor="text1"/>
        </w:rPr>
        <w:t xml:space="preserve">a v. </w:t>
      </w:r>
      <w:r w:rsidR="0023780F" w:rsidRPr="00B80AAA">
        <w:rPr>
          <w:i/>
          <w:color w:val="000000" w:themeColor="text1"/>
        </w:rPr>
        <w:t>Perú</w:t>
      </w:r>
      <w:r w:rsidRPr="00B80AAA">
        <w:rPr>
          <w:i/>
          <w:color w:val="000000" w:themeColor="text1"/>
        </w:rPr>
        <w:t>,</w:t>
      </w:r>
      <w:r w:rsidRPr="00B80AAA">
        <w:rPr>
          <w:rStyle w:val="FootnoteReference"/>
          <w:i/>
          <w:color w:val="000000" w:themeColor="text1"/>
        </w:rPr>
        <w:footnoteReference w:id="118"/>
      </w:r>
      <w:r w:rsidRPr="00B80AAA">
        <w:rPr>
          <w:color w:val="000000" w:themeColor="text1"/>
        </w:rPr>
        <w:t xml:space="preserve"> w</w:t>
      </w:r>
      <w:r w:rsidRPr="00B80AAA">
        <w:rPr>
          <w:color w:val="000000" w:themeColor="text1"/>
          <w:shd w:val="clear" w:color="auto" w:fill="FFFFFF"/>
        </w:rPr>
        <w:t xml:space="preserve">hen looking at what constituted mental and moral integrity, the Court looked at the victim’s age, the manner in which the victim was subsequently killed, and “the uncertainty over the outcome of the victim’s detention in the face of systematic pattern of extrajudicial </w:t>
      </w:r>
      <w:r w:rsidRPr="00B80AAA">
        <w:rPr>
          <w:color w:val="000000" w:themeColor="text1"/>
        </w:rPr>
        <w:t>executions.”</w:t>
      </w:r>
      <w:r w:rsidRPr="00B80AAA">
        <w:rPr>
          <w:rStyle w:val="FootnoteReference"/>
          <w:color w:val="000000" w:themeColor="text1"/>
        </w:rPr>
        <w:footnoteReference w:id="119"/>
      </w:r>
      <w:r w:rsidRPr="00B80AAA">
        <w:rPr>
          <w:color w:val="000000" w:themeColor="text1"/>
        </w:rPr>
        <w:t xml:space="preserve"> In this present case,</w:t>
      </w:r>
      <w:r w:rsidR="00CF0D14" w:rsidRPr="00B80AAA">
        <w:rPr>
          <w:color w:val="000000" w:themeColor="text1"/>
        </w:rPr>
        <w:t xml:space="preserve"> the public manner in which Edmundo Camana, Teresa Osorio and their two children were executed in a restaurant in </w:t>
      </w:r>
      <w:r w:rsidR="00456831" w:rsidRPr="00B80AAA">
        <w:rPr>
          <w:color w:val="000000" w:themeColor="text1"/>
        </w:rPr>
        <w:t>the capital city</w:t>
      </w:r>
      <w:r w:rsidR="00CF0D14" w:rsidRPr="00B80AAA">
        <w:rPr>
          <w:rStyle w:val="FootnoteReference"/>
          <w:color w:val="000000" w:themeColor="text1"/>
        </w:rPr>
        <w:footnoteReference w:id="120"/>
      </w:r>
      <w:r w:rsidR="00CF0D14" w:rsidRPr="00B80AAA">
        <w:rPr>
          <w:color w:val="000000" w:themeColor="text1"/>
        </w:rPr>
        <w:t xml:space="preserve"> violated their right to mental and moral integrity.  </w:t>
      </w:r>
      <w:r w:rsidRPr="00B80AAA">
        <w:rPr>
          <w:color w:val="000000" w:themeColor="text1"/>
        </w:rPr>
        <w:t xml:space="preserve">The same can be said specifically for Lucia Camana, who </w:t>
      </w:r>
      <w:r w:rsidR="00CF0D14" w:rsidRPr="00B80AAA">
        <w:rPr>
          <w:color w:val="000000" w:themeColor="text1"/>
        </w:rPr>
        <w:t xml:space="preserve">was also murdered </w:t>
      </w:r>
      <w:r w:rsidR="00885537" w:rsidRPr="00B80AAA">
        <w:rPr>
          <w:color w:val="000000" w:themeColor="text1"/>
        </w:rPr>
        <w:t xml:space="preserve">by a </w:t>
      </w:r>
      <w:r w:rsidR="00ED0CD2" w:rsidRPr="00B80AAA">
        <w:rPr>
          <w:color w:val="000000" w:themeColor="text1"/>
        </w:rPr>
        <w:t xml:space="preserve">similar weapon and </w:t>
      </w:r>
      <w:r w:rsidR="00ED0CD2" w:rsidRPr="00B80AAA">
        <w:rPr>
          <w:i/>
          <w:color w:val="000000" w:themeColor="text1"/>
        </w:rPr>
        <w:t>modus operandi</w:t>
      </w:r>
      <w:r w:rsidR="00ED0CD2" w:rsidRPr="00B80AAA">
        <w:rPr>
          <w:color w:val="000000" w:themeColor="text1"/>
        </w:rPr>
        <w:t xml:space="preserve"> used in the murders of her relatives in 1994</w:t>
      </w:r>
      <w:r w:rsidR="00ED0CD2" w:rsidRPr="00B80AAA">
        <w:rPr>
          <w:rStyle w:val="FootnoteReference"/>
          <w:color w:val="000000" w:themeColor="text1"/>
        </w:rPr>
        <w:footnoteReference w:id="121"/>
      </w:r>
      <w:r w:rsidR="003B4FAF" w:rsidRPr="00B80AAA">
        <w:rPr>
          <w:color w:val="000000" w:themeColor="text1"/>
        </w:rPr>
        <w:t xml:space="preserve"> </w:t>
      </w:r>
      <w:r w:rsidR="00CF0D14" w:rsidRPr="00B80AAA">
        <w:rPr>
          <w:color w:val="000000" w:themeColor="text1"/>
        </w:rPr>
        <w:t>while delivering a speech at</w:t>
      </w:r>
      <w:r w:rsidR="003B4FAF" w:rsidRPr="00B80AAA">
        <w:rPr>
          <w:color w:val="000000" w:themeColor="text1"/>
        </w:rPr>
        <w:t xml:space="preserve"> an</w:t>
      </w:r>
      <w:r w:rsidR="00CF0D14" w:rsidRPr="00B80AAA">
        <w:rPr>
          <w:color w:val="000000" w:themeColor="text1"/>
        </w:rPr>
        <w:t xml:space="preserve"> </w:t>
      </w:r>
      <w:r w:rsidRPr="00B80AAA">
        <w:rPr>
          <w:color w:val="000000" w:themeColor="text1"/>
        </w:rPr>
        <w:t>anti-impunity movement</w:t>
      </w:r>
      <w:r w:rsidR="00CF0D14" w:rsidRPr="00B80AAA">
        <w:rPr>
          <w:color w:val="000000" w:themeColor="text1"/>
        </w:rPr>
        <w:t xml:space="preserve"> in front </w:t>
      </w:r>
      <w:r w:rsidR="003B4FAF" w:rsidRPr="00B80AAA">
        <w:rPr>
          <w:color w:val="000000" w:themeColor="text1"/>
        </w:rPr>
        <w:t xml:space="preserve">of </w:t>
      </w:r>
      <w:r w:rsidR="00CF0D14" w:rsidRPr="00B80AAA">
        <w:rPr>
          <w:color w:val="000000" w:themeColor="text1"/>
        </w:rPr>
        <w:t>two million people</w:t>
      </w:r>
      <w:r w:rsidR="00456831" w:rsidRPr="00B80AAA">
        <w:rPr>
          <w:color w:val="000000" w:themeColor="text1"/>
        </w:rPr>
        <w:t xml:space="preserve"> in the capital city</w:t>
      </w:r>
      <w:r w:rsidRPr="00B80AAA">
        <w:rPr>
          <w:color w:val="000000" w:themeColor="text1"/>
        </w:rPr>
        <w:t>.</w:t>
      </w:r>
      <w:r w:rsidRPr="00B80AAA">
        <w:rPr>
          <w:rStyle w:val="FootnoteReference"/>
          <w:color w:val="000000" w:themeColor="text1"/>
        </w:rPr>
        <w:footnoteReference w:id="122"/>
      </w:r>
      <w:r w:rsidRPr="00B80AAA">
        <w:rPr>
          <w:color w:val="000000" w:themeColor="text1"/>
        </w:rPr>
        <w:t xml:space="preserve"> </w:t>
      </w:r>
      <w:r w:rsidR="00456831" w:rsidRPr="00B80AAA">
        <w:rPr>
          <w:color w:val="000000" w:themeColor="text1"/>
        </w:rPr>
        <w:t xml:space="preserve">As such </w:t>
      </w:r>
      <w:r w:rsidR="00ED0CD2" w:rsidRPr="00B80AAA">
        <w:rPr>
          <w:color w:val="000000" w:themeColor="text1"/>
        </w:rPr>
        <w:t xml:space="preserve">with Miningcorp S.A’s actions attributable to </w:t>
      </w:r>
      <w:r w:rsidR="00953F63" w:rsidRPr="00B80AAA">
        <w:rPr>
          <w:color w:val="000000" w:themeColor="text1"/>
        </w:rPr>
        <w:t>Santa Clara</w:t>
      </w:r>
      <w:r w:rsidR="00885537" w:rsidRPr="00B80AAA">
        <w:rPr>
          <w:color w:val="000000" w:themeColor="text1"/>
        </w:rPr>
        <w:t xml:space="preserve"> as previously stated</w:t>
      </w:r>
      <w:r w:rsidR="00ED0CD2" w:rsidRPr="00B80AAA">
        <w:rPr>
          <w:color w:val="000000" w:themeColor="text1"/>
        </w:rPr>
        <w:t xml:space="preserve">, Santa Clara </w:t>
      </w:r>
      <w:r w:rsidR="00456831" w:rsidRPr="00B80AAA">
        <w:rPr>
          <w:color w:val="000000" w:themeColor="text1"/>
        </w:rPr>
        <w:t>violated the</w:t>
      </w:r>
      <w:r w:rsidR="00953F63" w:rsidRPr="00B80AAA">
        <w:rPr>
          <w:color w:val="000000" w:themeColor="text1"/>
        </w:rPr>
        <w:t>ir</w:t>
      </w:r>
      <w:r w:rsidR="00456831" w:rsidRPr="00B80AAA">
        <w:rPr>
          <w:color w:val="000000" w:themeColor="text1"/>
        </w:rPr>
        <w:t xml:space="preserve"> right to humane treatment. </w:t>
      </w:r>
    </w:p>
    <w:p w:rsidR="00C74A5E" w:rsidRPr="00B80AAA" w:rsidRDefault="00C74A5E" w:rsidP="00B80AAA">
      <w:pPr>
        <w:pStyle w:val="Heading3"/>
        <w:spacing w:line="480" w:lineRule="auto"/>
        <w:jc w:val="both"/>
        <w:rPr>
          <w:rFonts w:ascii="Times New Roman" w:eastAsia="Times New Roman" w:hAnsi="Times New Roman" w:cs="Times New Roman"/>
          <w:i/>
          <w:color w:val="000000" w:themeColor="text1"/>
          <w:lang w:eastAsia="en-TT"/>
        </w:rPr>
      </w:pPr>
      <w:bookmarkStart w:id="39" w:name="_Toc440048746"/>
      <w:bookmarkStart w:id="40" w:name="_Toc440366952"/>
      <w:bookmarkStart w:id="41" w:name="_Toc441798778"/>
      <w:bookmarkStart w:id="42" w:name="_Toc446831634"/>
      <w:r w:rsidRPr="00B80AAA">
        <w:rPr>
          <w:rFonts w:ascii="Times New Roman" w:eastAsia="Times New Roman" w:hAnsi="Times New Roman" w:cs="Times New Roman"/>
          <w:i/>
          <w:color w:val="000000" w:themeColor="text1"/>
          <w:lang w:eastAsia="en-TT"/>
        </w:rPr>
        <w:t xml:space="preserve">3.3.3 Article 5.1- </w:t>
      </w:r>
      <w:bookmarkEnd w:id="39"/>
      <w:bookmarkEnd w:id="40"/>
      <w:r w:rsidRPr="00B80AAA">
        <w:rPr>
          <w:rFonts w:ascii="Times New Roman" w:eastAsia="Times New Roman" w:hAnsi="Times New Roman" w:cs="Times New Roman"/>
          <w:i/>
          <w:color w:val="000000" w:themeColor="text1"/>
          <w:lang w:eastAsia="en-TT"/>
        </w:rPr>
        <w:t xml:space="preserve">Violation of the Right to Humane Treatment in respect of the </w:t>
      </w:r>
      <w:r w:rsidR="001C70A3" w:rsidRPr="00B80AAA">
        <w:rPr>
          <w:rFonts w:ascii="Times New Roman" w:eastAsia="Times New Roman" w:hAnsi="Times New Roman" w:cs="Times New Roman"/>
          <w:i/>
          <w:color w:val="000000" w:themeColor="text1"/>
          <w:lang w:eastAsia="en-TT"/>
        </w:rPr>
        <w:t xml:space="preserve">immediate </w:t>
      </w:r>
      <w:bookmarkEnd w:id="41"/>
      <w:r w:rsidR="001C70A3" w:rsidRPr="00B80AAA">
        <w:rPr>
          <w:rFonts w:ascii="Times New Roman" w:eastAsia="Times New Roman" w:hAnsi="Times New Roman" w:cs="Times New Roman"/>
          <w:i/>
          <w:color w:val="000000" w:themeColor="text1"/>
          <w:lang w:eastAsia="en-TT"/>
        </w:rPr>
        <w:t>relatives of Edmundo Camana and his family</w:t>
      </w:r>
      <w:bookmarkEnd w:id="42"/>
    </w:p>
    <w:p w:rsidR="00A44BF0" w:rsidRPr="00B80AAA" w:rsidRDefault="00C74A5E" w:rsidP="00B80AAA">
      <w:pPr>
        <w:pStyle w:val="NormalWeb"/>
        <w:spacing w:before="0" w:beforeAutospacing="0" w:after="0" w:afterAutospacing="0" w:line="480" w:lineRule="auto"/>
        <w:jc w:val="both"/>
        <w:rPr>
          <w:color w:val="000000" w:themeColor="text1"/>
        </w:rPr>
      </w:pPr>
      <w:r w:rsidRPr="00B80AAA">
        <w:rPr>
          <w:color w:val="000000" w:themeColor="text1"/>
        </w:rPr>
        <w:t xml:space="preserve">Article 5(1) of the </w:t>
      </w:r>
      <w:r w:rsidRPr="00B80AAA">
        <w:rPr>
          <w:i/>
          <w:color w:val="000000" w:themeColor="text1"/>
        </w:rPr>
        <w:t>American Convention,</w:t>
      </w:r>
      <w:r w:rsidRPr="00B80AAA">
        <w:rPr>
          <w:rStyle w:val="FootnoteReference"/>
          <w:color w:val="000000" w:themeColor="text1"/>
        </w:rPr>
        <w:footnoteReference w:id="123"/>
      </w:r>
      <w:r w:rsidRPr="00B80AAA">
        <w:rPr>
          <w:color w:val="000000" w:themeColor="text1"/>
        </w:rPr>
        <w:t xml:space="preserve"> not only recognizes the right to have the victim’s physical, mental, and moral integrity respected but also that of the victim’s family.</w:t>
      </w:r>
      <w:r w:rsidRPr="00B80AAA">
        <w:rPr>
          <w:rStyle w:val="FootnoteReference"/>
          <w:color w:val="000000" w:themeColor="text1"/>
        </w:rPr>
        <w:footnoteReference w:id="124"/>
      </w:r>
      <w:r w:rsidRPr="00B80AAA">
        <w:rPr>
          <w:color w:val="000000" w:themeColor="text1"/>
        </w:rPr>
        <w:t xml:space="preserve"> In the case </w:t>
      </w:r>
      <w:r w:rsidRPr="00B80AAA">
        <w:rPr>
          <w:color w:val="000000" w:themeColor="text1"/>
        </w:rPr>
        <w:lastRenderedPageBreak/>
        <w:t xml:space="preserve">of </w:t>
      </w:r>
      <w:r w:rsidRPr="00B80AAA">
        <w:rPr>
          <w:i/>
          <w:iCs/>
          <w:color w:val="000000" w:themeColor="text1"/>
        </w:rPr>
        <w:t>Gomez Palomino v</w:t>
      </w:r>
      <w:r w:rsidR="00885537" w:rsidRPr="00B80AAA">
        <w:rPr>
          <w:i/>
          <w:iCs/>
          <w:color w:val="000000" w:themeColor="text1"/>
        </w:rPr>
        <w:t>.</w:t>
      </w:r>
      <w:r w:rsidR="0023780F" w:rsidRPr="00B80AAA">
        <w:rPr>
          <w:i/>
          <w:iCs/>
          <w:color w:val="000000" w:themeColor="text1"/>
        </w:rPr>
        <w:t xml:space="preserve"> Perú</w:t>
      </w:r>
      <w:r w:rsidRPr="00B80AAA">
        <w:rPr>
          <w:i/>
          <w:iCs/>
          <w:color w:val="000000" w:themeColor="text1"/>
        </w:rPr>
        <w:t>,</w:t>
      </w:r>
      <w:r w:rsidRPr="00B80AAA">
        <w:rPr>
          <w:rStyle w:val="FootnoteReference"/>
          <w:i/>
          <w:iCs/>
          <w:color w:val="000000" w:themeColor="text1"/>
        </w:rPr>
        <w:footnoteReference w:id="125"/>
      </w:r>
      <w:r w:rsidRPr="00B80AAA">
        <w:rPr>
          <w:color w:val="000000" w:themeColor="text1"/>
        </w:rPr>
        <w:t xml:space="preserve"> </w:t>
      </w:r>
      <w:r w:rsidR="00A44BF0" w:rsidRPr="00B80AAA">
        <w:rPr>
          <w:color w:val="000000" w:themeColor="text1"/>
        </w:rPr>
        <w:t>t</w:t>
      </w:r>
      <w:r w:rsidRPr="00B80AAA">
        <w:rPr>
          <w:color w:val="000000" w:themeColor="text1"/>
        </w:rPr>
        <w:t>he Court held that the victim’s siblings</w:t>
      </w:r>
      <w:r w:rsidR="006B233D" w:rsidRPr="00B80AAA">
        <w:rPr>
          <w:color w:val="000000" w:themeColor="text1"/>
        </w:rPr>
        <w:t>’</w:t>
      </w:r>
      <w:r w:rsidRPr="00B80AAA">
        <w:rPr>
          <w:color w:val="000000" w:themeColor="text1"/>
        </w:rPr>
        <w:t xml:space="preserve"> right</w:t>
      </w:r>
      <w:r w:rsidR="006B233D" w:rsidRPr="00B80AAA">
        <w:rPr>
          <w:color w:val="000000" w:themeColor="text1"/>
        </w:rPr>
        <w:t>s</w:t>
      </w:r>
      <w:r w:rsidRPr="00B80AAA">
        <w:rPr>
          <w:color w:val="000000" w:themeColor="text1"/>
        </w:rPr>
        <w:t xml:space="preserve"> to humane treatment were also violated as they had experienced pain a</w:t>
      </w:r>
      <w:r w:rsidR="006B233D" w:rsidRPr="00B80AAA">
        <w:rPr>
          <w:color w:val="000000" w:themeColor="text1"/>
        </w:rPr>
        <w:t>nd</w:t>
      </w:r>
      <w:r w:rsidRPr="00B80AAA">
        <w:rPr>
          <w:color w:val="000000" w:themeColor="text1"/>
        </w:rPr>
        <w:t xml:space="preserve"> suffering as a result of </w:t>
      </w:r>
      <w:r w:rsidR="00A44BF0" w:rsidRPr="00B80AAA">
        <w:rPr>
          <w:color w:val="000000" w:themeColor="text1"/>
        </w:rPr>
        <w:t xml:space="preserve">their relative’s </w:t>
      </w:r>
      <w:r w:rsidRPr="00B80AAA">
        <w:rPr>
          <w:color w:val="000000" w:themeColor="text1"/>
        </w:rPr>
        <w:t>disappearance from the subsequent acts or omissions of the State.</w:t>
      </w:r>
      <w:r w:rsidRPr="00B80AAA">
        <w:rPr>
          <w:rStyle w:val="FootnoteReference"/>
          <w:color w:val="000000" w:themeColor="text1"/>
        </w:rPr>
        <w:footnoteReference w:id="126"/>
      </w:r>
      <w:r w:rsidR="003B4FAF" w:rsidRPr="00B80AAA">
        <w:rPr>
          <w:color w:val="000000" w:themeColor="text1"/>
        </w:rPr>
        <w:t xml:space="preserve"> </w:t>
      </w:r>
      <w:r w:rsidR="00A44BF0" w:rsidRPr="00B80AAA">
        <w:rPr>
          <w:color w:val="000000" w:themeColor="text1"/>
        </w:rPr>
        <w:t>T</w:t>
      </w:r>
      <w:r w:rsidRPr="00B80AAA">
        <w:rPr>
          <w:color w:val="000000" w:themeColor="text1"/>
        </w:rPr>
        <w:t>he Court often looks at the surrounding circumstances of the violation, particularly the manner in which the individual was killed, the deep bond the victims shared with their family and the obstacles the family faced in uncovering the truth.</w:t>
      </w:r>
      <w:r w:rsidRPr="00B80AAA">
        <w:rPr>
          <w:rStyle w:val="FootnoteReference"/>
          <w:color w:val="000000" w:themeColor="text1"/>
        </w:rPr>
        <w:footnoteReference w:id="127"/>
      </w:r>
      <w:r w:rsidRPr="00B80AAA">
        <w:rPr>
          <w:color w:val="000000" w:themeColor="text1"/>
        </w:rPr>
        <w:t xml:space="preserve"> </w:t>
      </w:r>
    </w:p>
    <w:p w:rsidR="009B10CE" w:rsidRPr="00B80AAA" w:rsidRDefault="00C74A5E" w:rsidP="00B80AAA">
      <w:pPr>
        <w:pStyle w:val="NormalWeb"/>
        <w:spacing w:before="0" w:beforeAutospacing="0" w:after="0" w:afterAutospacing="0" w:line="480" w:lineRule="auto"/>
        <w:jc w:val="both"/>
        <w:rPr>
          <w:color w:val="000000" w:themeColor="text1"/>
        </w:rPr>
      </w:pPr>
      <w:r w:rsidRPr="00B80AAA">
        <w:rPr>
          <w:color w:val="000000" w:themeColor="text1"/>
        </w:rPr>
        <w:t xml:space="preserve">In relation to this present case, </w:t>
      </w:r>
      <w:r w:rsidR="00D05BE2" w:rsidRPr="00B80AAA">
        <w:rPr>
          <w:color w:val="000000" w:themeColor="text1"/>
        </w:rPr>
        <w:t>the immediate relatives of Edmudo Camana and his family have</w:t>
      </w:r>
      <w:r w:rsidRPr="00B80AAA">
        <w:rPr>
          <w:color w:val="000000" w:themeColor="text1"/>
        </w:rPr>
        <w:t xml:space="preserve"> lost five family members at the hands of a militia group</w:t>
      </w:r>
      <w:r w:rsidR="00A44BF0" w:rsidRPr="00B80AAA">
        <w:rPr>
          <w:rStyle w:val="FootnoteReference"/>
          <w:color w:val="000000" w:themeColor="text1"/>
        </w:rPr>
        <w:footnoteReference w:id="128"/>
      </w:r>
      <w:r w:rsidR="003B4FAF" w:rsidRPr="00B80AAA">
        <w:rPr>
          <w:color w:val="000000" w:themeColor="text1"/>
        </w:rPr>
        <w:t xml:space="preserve"> </w:t>
      </w:r>
      <w:r w:rsidR="00886E65" w:rsidRPr="00B80AAA">
        <w:rPr>
          <w:color w:val="000000" w:themeColor="text1"/>
        </w:rPr>
        <w:t>directly assisted</w:t>
      </w:r>
      <w:r w:rsidR="000E0E4D" w:rsidRPr="00B80AAA">
        <w:rPr>
          <w:color w:val="000000" w:themeColor="text1"/>
        </w:rPr>
        <w:t xml:space="preserve"> by Santa Clara</w:t>
      </w:r>
      <w:r w:rsidR="00886E65" w:rsidRPr="00B80AAA">
        <w:rPr>
          <w:color w:val="000000" w:themeColor="text1"/>
        </w:rPr>
        <w:t xml:space="preserve"> through Miningcorp S.A</w:t>
      </w:r>
      <w:r w:rsidRPr="00B80AAA">
        <w:rPr>
          <w:color w:val="000000" w:themeColor="text1"/>
        </w:rPr>
        <w:t xml:space="preserve">. Therefore, it is reasonable that the </w:t>
      </w:r>
      <w:r w:rsidR="00D05BE2" w:rsidRPr="00B80AAA">
        <w:rPr>
          <w:color w:val="000000" w:themeColor="text1"/>
        </w:rPr>
        <w:t xml:space="preserve">immediate relative of Edmundo Camana and his family </w:t>
      </w:r>
      <w:r w:rsidRPr="00B80AAA">
        <w:rPr>
          <w:color w:val="000000" w:themeColor="text1"/>
        </w:rPr>
        <w:t>family, not only experienced emotional distress and mental anguish because of the passing of their relatives and the arduous process to unearth truth, but also the fright from living in the same community where the murders took place. As such it can be reasonable to sa</w:t>
      </w:r>
      <w:r w:rsidR="00D05BE2" w:rsidRPr="00B80AAA">
        <w:rPr>
          <w:color w:val="000000" w:themeColor="text1"/>
        </w:rPr>
        <w:t xml:space="preserve">y that the right to humane treatment </w:t>
      </w:r>
      <w:r w:rsidR="00EF5EC4" w:rsidRPr="00B80AAA">
        <w:rPr>
          <w:color w:val="000000" w:themeColor="text1"/>
        </w:rPr>
        <w:t>in respect of the</w:t>
      </w:r>
      <w:r w:rsidR="00D05BE2" w:rsidRPr="00B80AAA">
        <w:rPr>
          <w:color w:val="000000" w:themeColor="text1"/>
        </w:rPr>
        <w:t xml:space="preserve"> immediate relatives of Edmundo Camana and his family</w:t>
      </w:r>
      <w:r w:rsidRPr="00B80AAA">
        <w:rPr>
          <w:color w:val="000000" w:themeColor="text1"/>
        </w:rPr>
        <w:t xml:space="preserve"> has been violated by Santa Clara</w:t>
      </w:r>
      <w:r w:rsidR="000E0E4D" w:rsidRPr="00B80AAA">
        <w:rPr>
          <w:color w:val="000000" w:themeColor="text1"/>
        </w:rPr>
        <w:t>.</w:t>
      </w:r>
      <w:r w:rsidRPr="00B80AAA">
        <w:rPr>
          <w:color w:val="000000" w:themeColor="text1"/>
        </w:rPr>
        <w:t xml:space="preserve"> </w:t>
      </w:r>
    </w:p>
    <w:p w:rsidR="009B10CE" w:rsidRPr="00B80AAA" w:rsidRDefault="009B10CE" w:rsidP="00B80AAA">
      <w:pPr>
        <w:pStyle w:val="Heading3"/>
        <w:spacing w:line="480" w:lineRule="auto"/>
        <w:jc w:val="both"/>
        <w:rPr>
          <w:rFonts w:ascii="Times New Roman" w:hAnsi="Times New Roman" w:cs="Times New Roman"/>
          <w:color w:val="000000" w:themeColor="text1"/>
        </w:rPr>
      </w:pPr>
      <w:bookmarkStart w:id="43" w:name="_Toc441798779"/>
      <w:bookmarkStart w:id="44" w:name="_Toc440048747"/>
      <w:bookmarkStart w:id="45" w:name="_Toc440366953"/>
      <w:bookmarkStart w:id="46" w:name="_Toc446831635"/>
      <w:r w:rsidRPr="00B80AAA">
        <w:rPr>
          <w:rFonts w:ascii="Times New Roman" w:hAnsi="Times New Roman" w:cs="Times New Roman"/>
          <w:i/>
          <w:color w:val="000000" w:themeColor="text1"/>
        </w:rPr>
        <w:t>3.3.4 Article 16- Violation of the Right to Association in respect of Edmundo Camana and his Family</w:t>
      </w:r>
      <w:bookmarkEnd w:id="43"/>
      <w:bookmarkEnd w:id="44"/>
      <w:bookmarkEnd w:id="45"/>
      <w:bookmarkEnd w:id="46"/>
    </w:p>
    <w:p w:rsidR="00C74A5E" w:rsidRPr="00B80AAA" w:rsidRDefault="00C74A5E" w:rsidP="00B80AA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color w:val="000000" w:themeColor="text1"/>
        </w:rPr>
      </w:pPr>
      <w:r w:rsidRPr="00B80AAA">
        <w:rPr>
          <w:color w:val="000000" w:themeColor="text1"/>
        </w:rPr>
        <w:t xml:space="preserve">The </w:t>
      </w:r>
      <w:r w:rsidRPr="00B80AAA">
        <w:rPr>
          <w:i/>
          <w:color w:val="000000" w:themeColor="text1"/>
        </w:rPr>
        <w:t>Convention</w:t>
      </w:r>
      <w:r w:rsidRPr="00B80AAA">
        <w:rPr>
          <w:color w:val="000000" w:themeColor="text1"/>
        </w:rPr>
        <w:t xml:space="preserve"> provides that individuals are free to associate for ideological, religious, political, economic, social, and cultural, sports or other purposes.</w:t>
      </w:r>
      <w:r w:rsidRPr="00B80AAA">
        <w:rPr>
          <w:rStyle w:val="FootnoteReference"/>
          <w:color w:val="000000" w:themeColor="text1"/>
        </w:rPr>
        <w:footnoteReference w:id="129"/>
      </w:r>
      <w:r w:rsidRPr="00B80AAA">
        <w:rPr>
          <w:color w:val="000000" w:themeColor="text1"/>
        </w:rPr>
        <w:t xml:space="preserve"> In the case of </w:t>
      </w:r>
      <w:hyperlink r:id="rId9" w:history="1">
        <w:r w:rsidRPr="00B80AAA">
          <w:rPr>
            <w:rStyle w:val="Hyperlink"/>
            <w:color w:val="000000" w:themeColor="text1"/>
            <w:u w:val="none"/>
          </w:rPr>
          <w:t xml:space="preserve"> </w:t>
        </w:r>
        <w:r w:rsidRPr="00B80AAA">
          <w:rPr>
            <w:rStyle w:val="Hyperlink"/>
            <w:i/>
            <w:color w:val="000000" w:themeColor="text1"/>
            <w:u w:val="none"/>
          </w:rPr>
          <w:t>Cantoral-H</w:t>
        </w:r>
        <w:r w:rsidR="0023780F" w:rsidRPr="00B80AAA">
          <w:rPr>
            <w:rStyle w:val="Hyperlink"/>
            <w:i/>
            <w:color w:val="000000" w:themeColor="text1"/>
            <w:u w:val="none"/>
          </w:rPr>
          <w:t>uamaní and García-Santa Cruz v.</w:t>
        </w:r>
      </w:hyperlink>
      <w:r w:rsidR="003B4FAF" w:rsidRPr="00B80AAA">
        <w:rPr>
          <w:rStyle w:val="Hyperlink"/>
          <w:i/>
          <w:color w:val="000000" w:themeColor="text1"/>
          <w:u w:val="none"/>
        </w:rPr>
        <w:t xml:space="preserve"> Perú,</w:t>
      </w:r>
      <w:r w:rsidRPr="00B80AAA">
        <w:rPr>
          <w:rStyle w:val="FootnoteReference"/>
          <w:color w:val="000000" w:themeColor="text1"/>
        </w:rPr>
        <w:footnoteReference w:id="130"/>
      </w:r>
      <w:r w:rsidRPr="00B80AAA">
        <w:rPr>
          <w:color w:val="000000" w:themeColor="text1"/>
        </w:rPr>
        <w:t xml:space="preserve"> the Court found that “exercise of the right to freedom of </w:t>
      </w:r>
      <w:r w:rsidRPr="00B80AAA">
        <w:rPr>
          <w:color w:val="000000" w:themeColor="text1"/>
        </w:rPr>
        <w:lastRenderedPageBreak/>
        <w:t xml:space="preserve">association in relation to trade unions </w:t>
      </w:r>
      <w:r w:rsidR="00983406" w:rsidRPr="00B80AAA">
        <w:rPr>
          <w:color w:val="000000" w:themeColor="text1"/>
        </w:rPr>
        <w:t xml:space="preserve">could be </w:t>
      </w:r>
      <w:r w:rsidRPr="00B80AAA">
        <w:rPr>
          <w:color w:val="000000" w:themeColor="text1"/>
        </w:rPr>
        <w:t>motive for attack</w:t>
      </w:r>
      <w:r w:rsidR="00886E65" w:rsidRPr="00B80AAA">
        <w:rPr>
          <w:color w:val="000000" w:themeColor="text1"/>
        </w:rPr>
        <w:t>.</w:t>
      </w:r>
      <w:r w:rsidRPr="00B80AAA">
        <w:rPr>
          <w:color w:val="000000" w:themeColor="text1"/>
        </w:rPr>
        <w:t>”</w:t>
      </w:r>
      <w:r w:rsidRPr="00B80AAA">
        <w:rPr>
          <w:rStyle w:val="FootnoteReference"/>
          <w:color w:val="000000" w:themeColor="text1"/>
        </w:rPr>
        <w:footnoteReference w:id="131"/>
      </w:r>
      <w:r w:rsidRPr="00B80AAA">
        <w:rPr>
          <w:color w:val="000000" w:themeColor="text1"/>
        </w:rPr>
        <w:t xml:space="preserve"> The Court also said that the </w:t>
      </w:r>
      <w:r w:rsidR="00980429" w:rsidRPr="00B80AAA">
        <w:rPr>
          <w:i/>
          <w:color w:val="000000" w:themeColor="text1"/>
        </w:rPr>
        <w:t xml:space="preserve">ACHR </w:t>
      </w:r>
      <w:r w:rsidR="006B233D" w:rsidRPr="00B80AAA">
        <w:rPr>
          <w:color w:val="000000" w:themeColor="text1"/>
        </w:rPr>
        <w:t>imposed the positive duty on</w:t>
      </w:r>
      <w:r w:rsidR="00CB731E" w:rsidRPr="00B80AAA">
        <w:rPr>
          <w:color w:val="000000" w:themeColor="text1"/>
        </w:rPr>
        <w:t xml:space="preserve"> t</w:t>
      </w:r>
      <w:r w:rsidRPr="00B80AAA">
        <w:rPr>
          <w:color w:val="000000" w:themeColor="text1"/>
        </w:rPr>
        <w:t>he State to guarantee that people could exercise their freedom of association without fear that they will be subjected to any violence.</w:t>
      </w:r>
      <w:r w:rsidRPr="00B80AAA">
        <w:rPr>
          <w:rStyle w:val="FootnoteReference"/>
          <w:color w:val="000000" w:themeColor="text1"/>
        </w:rPr>
        <w:footnoteReference w:id="132"/>
      </w:r>
      <w:r w:rsidRPr="00B80AAA">
        <w:rPr>
          <w:color w:val="000000" w:themeColor="text1"/>
        </w:rPr>
        <w:t xml:space="preserve"> </w:t>
      </w:r>
    </w:p>
    <w:p w:rsidR="009F63E0" w:rsidRPr="00B80AAA" w:rsidRDefault="00C74A5E" w:rsidP="00B80AAA">
      <w:pPr>
        <w:spacing w:line="480" w:lineRule="auto"/>
        <w:jc w:val="both"/>
        <w:rPr>
          <w:color w:val="000000" w:themeColor="text1"/>
        </w:rPr>
      </w:pPr>
      <w:r w:rsidRPr="00B80AAA">
        <w:rPr>
          <w:color w:val="000000" w:themeColor="text1"/>
        </w:rPr>
        <w:t xml:space="preserve">In applying this principle to the </w:t>
      </w:r>
      <w:r w:rsidR="00A86690" w:rsidRPr="00B80AAA">
        <w:rPr>
          <w:color w:val="000000" w:themeColor="text1"/>
        </w:rPr>
        <w:t xml:space="preserve">present </w:t>
      </w:r>
      <w:r w:rsidRPr="00B80AAA">
        <w:rPr>
          <w:color w:val="000000" w:themeColor="text1"/>
        </w:rPr>
        <w:t>case, it is clear that Edmundo Camana’s position as the President of the Mad</w:t>
      </w:r>
      <w:r w:rsidR="003B4FAF" w:rsidRPr="00B80AAA">
        <w:rPr>
          <w:color w:val="000000" w:themeColor="text1"/>
        </w:rPr>
        <w:t>r</w:t>
      </w:r>
      <w:r w:rsidRPr="00B80AAA">
        <w:rPr>
          <w:color w:val="000000" w:themeColor="text1"/>
        </w:rPr>
        <w:t>ugan Confed</w:t>
      </w:r>
      <w:r w:rsidR="003B4FAF" w:rsidRPr="00B80AAA">
        <w:rPr>
          <w:color w:val="000000" w:themeColor="text1"/>
        </w:rPr>
        <w:t>eration of Minew</w:t>
      </w:r>
      <w:r w:rsidRPr="00B80AAA">
        <w:rPr>
          <w:color w:val="000000" w:themeColor="text1"/>
        </w:rPr>
        <w:t>orkers and Lucia Camana’s as a human rights defender and spokesperson for the National Movement against Impunity, naturally attracted the Right of Association as well as motive for their murders. The murder of Edmundo Camana and his family in such a public manner would have been aimed at dismantling this Confederation in order to ensure the security of the private mining sector, without any opposition. Likewise Lucia’s, murder in such a public manner would have instilled fear in those standing against impunity, forcing persons of a similar status into silence. Thus Santa Clara was in violation of this right as it failed to act positively and prevent violence against groups such as the Confederation</w:t>
      </w:r>
      <w:r w:rsidR="009871FD" w:rsidRPr="00B80AAA">
        <w:rPr>
          <w:color w:val="000000" w:themeColor="text1"/>
        </w:rPr>
        <w:t xml:space="preserve"> of Mineworkers</w:t>
      </w:r>
      <w:r w:rsidR="00886E65" w:rsidRPr="00B80AAA">
        <w:rPr>
          <w:color w:val="000000" w:themeColor="text1"/>
        </w:rPr>
        <w:t xml:space="preserve"> and human rights defenders</w:t>
      </w:r>
      <w:r w:rsidRPr="00B80AAA">
        <w:rPr>
          <w:color w:val="000000" w:themeColor="text1"/>
        </w:rPr>
        <w:t xml:space="preserve">. </w:t>
      </w:r>
      <w:bookmarkStart w:id="47" w:name="_Toc440048748"/>
      <w:bookmarkStart w:id="48" w:name="_Toc440366954"/>
      <w:bookmarkStart w:id="49" w:name="_Toc441798780"/>
    </w:p>
    <w:p w:rsidR="00C74A5E" w:rsidRPr="00B80AAA" w:rsidRDefault="00C74A5E" w:rsidP="00B80AAA">
      <w:pPr>
        <w:pStyle w:val="Heading3"/>
        <w:spacing w:line="480" w:lineRule="auto"/>
        <w:jc w:val="both"/>
        <w:rPr>
          <w:rFonts w:ascii="Times New Roman" w:eastAsia="Times New Roman" w:hAnsi="Times New Roman" w:cs="Times New Roman"/>
          <w:i/>
          <w:color w:val="auto"/>
          <w:lang w:eastAsia="en-TT"/>
        </w:rPr>
      </w:pPr>
      <w:bookmarkStart w:id="50" w:name="_Toc446831636"/>
      <w:r w:rsidRPr="00B80AAA">
        <w:rPr>
          <w:rFonts w:ascii="Times New Roman" w:hAnsi="Times New Roman" w:cs="Times New Roman"/>
          <w:i/>
          <w:color w:val="auto"/>
        </w:rPr>
        <w:t xml:space="preserve">3.3.5 Article 17- </w:t>
      </w:r>
      <w:bookmarkEnd w:id="47"/>
      <w:bookmarkEnd w:id="48"/>
      <w:r w:rsidRPr="00B80AAA">
        <w:rPr>
          <w:rFonts w:ascii="Times New Roman" w:hAnsi="Times New Roman" w:cs="Times New Roman"/>
          <w:i/>
          <w:color w:val="auto"/>
        </w:rPr>
        <w:t>Violation of the Right to Family in respect of Edmundo Camana and his Family</w:t>
      </w:r>
      <w:bookmarkEnd w:id="49"/>
      <w:bookmarkEnd w:id="50"/>
    </w:p>
    <w:p w:rsidR="00FF5E23" w:rsidRPr="00B80AAA" w:rsidRDefault="00C74A5E" w:rsidP="00B80AAA">
      <w:pPr>
        <w:spacing w:line="480" w:lineRule="auto"/>
        <w:jc w:val="both"/>
        <w:rPr>
          <w:color w:val="000000" w:themeColor="text1"/>
        </w:rPr>
      </w:pPr>
      <w:r w:rsidRPr="00B80AAA">
        <w:rPr>
          <w:color w:val="000000" w:themeColor="text1"/>
        </w:rPr>
        <w:t xml:space="preserve">The family unit, under the </w:t>
      </w:r>
      <w:r w:rsidR="00BC1A85" w:rsidRPr="00B80AAA">
        <w:rPr>
          <w:i/>
          <w:color w:val="000000" w:themeColor="text1"/>
        </w:rPr>
        <w:t>ACHR</w:t>
      </w:r>
      <w:r w:rsidRPr="00B80AAA">
        <w:rPr>
          <w:color w:val="000000" w:themeColor="text1"/>
        </w:rPr>
        <w:t xml:space="preserve"> is entitled to protection by the State</w:t>
      </w:r>
      <w:r w:rsidR="00BC1A85" w:rsidRPr="00B80AAA">
        <w:rPr>
          <w:color w:val="000000" w:themeColor="text1"/>
        </w:rPr>
        <w:t xml:space="preserve"> as it is </w:t>
      </w:r>
      <w:r w:rsidRPr="00B80AAA">
        <w:rPr>
          <w:color w:val="000000" w:themeColor="text1"/>
        </w:rPr>
        <w:t>a fundamental societal element that deserves protection.</w:t>
      </w:r>
      <w:r w:rsidRPr="00B80AAA">
        <w:rPr>
          <w:rStyle w:val="FootnoteReference"/>
          <w:color w:val="000000" w:themeColor="text1"/>
        </w:rPr>
        <w:footnoteReference w:id="133"/>
      </w:r>
      <w:r w:rsidR="003B4FAF" w:rsidRPr="00B80AAA">
        <w:rPr>
          <w:color w:val="000000" w:themeColor="text1"/>
        </w:rPr>
        <w:t xml:space="preserve"> </w:t>
      </w:r>
      <w:r w:rsidRPr="00B80AAA">
        <w:rPr>
          <w:color w:val="000000" w:themeColor="text1"/>
        </w:rPr>
        <w:t xml:space="preserve">In the case of </w:t>
      </w:r>
      <w:r w:rsidRPr="00B80AAA">
        <w:rPr>
          <w:i/>
          <w:color w:val="000000" w:themeColor="text1"/>
        </w:rPr>
        <w:t>Chitay Nech et al. v. Guatemala,</w:t>
      </w:r>
      <w:r w:rsidRPr="00B80AAA">
        <w:rPr>
          <w:rStyle w:val="FootnoteReference"/>
          <w:i/>
          <w:color w:val="000000" w:themeColor="text1"/>
        </w:rPr>
        <w:footnoteReference w:id="134"/>
      </w:r>
      <w:r w:rsidRPr="00B80AAA">
        <w:rPr>
          <w:i/>
          <w:color w:val="000000" w:themeColor="text1"/>
        </w:rPr>
        <w:t xml:space="preserve"> </w:t>
      </w:r>
      <w:r w:rsidRPr="00B80AAA">
        <w:rPr>
          <w:color w:val="000000" w:themeColor="text1"/>
        </w:rPr>
        <w:t xml:space="preserve">the Court recognised that a </w:t>
      </w:r>
      <w:r w:rsidR="00CB731E" w:rsidRPr="00B80AAA">
        <w:rPr>
          <w:color w:val="000000" w:themeColor="text1"/>
        </w:rPr>
        <w:t xml:space="preserve">child had a right to live with his or her </w:t>
      </w:r>
      <w:r w:rsidRPr="00B80AAA">
        <w:rPr>
          <w:color w:val="000000" w:themeColor="text1"/>
        </w:rPr>
        <w:t>family and not be separated from them.</w:t>
      </w:r>
      <w:r w:rsidRPr="00B80AAA">
        <w:rPr>
          <w:rStyle w:val="FootnoteReference"/>
          <w:color w:val="000000" w:themeColor="text1"/>
        </w:rPr>
        <w:footnoteReference w:id="135"/>
      </w:r>
      <w:r w:rsidRPr="00B80AAA">
        <w:rPr>
          <w:color w:val="000000" w:themeColor="text1"/>
        </w:rPr>
        <w:t xml:space="preserve"> </w:t>
      </w:r>
      <w:r w:rsidR="009F28FB" w:rsidRPr="00B80AAA">
        <w:rPr>
          <w:color w:val="000000" w:themeColor="text1"/>
        </w:rPr>
        <w:t xml:space="preserve">Thus a separation of a child from his or her family was a </w:t>
      </w:r>
      <w:r w:rsidRPr="00B80AAA">
        <w:rPr>
          <w:color w:val="000000" w:themeColor="text1"/>
        </w:rPr>
        <w:t xml:space="preserve">violation of the </w:t>
      </w:r>
      <w:r w:rsidRPr="00B80AAA">
        <w:rPr>
          <w:i/>
          <w:color w:val="000000" w:themeColor="text1"/>
        </w:rPr>
        <w:t>Convention</w:t>
      </w:r>
      <w:r w:rsidRPr="00B80AAA">
        <w:rPr>
          <w:color w:val="000000" w:themeColor="text1"/>
        </w:rPr>
        <w:t xml:space="preserve"> </w:t>
      </w:r>
      <w:r w:rsidRPr="00B80AAA">
        <w:rPr>
          <w:color w:val="000000" w:themeColor="text1"/>
        </w:rPr>
        <w:lastRenderedPageBreak/>
        <w:t>rights.</w:t>
      </w:r>
      <w:r w:rsidRPr="00B80AAA">
        <w:rPr>
          <w:rStyle w:val="FootnoteReference"/>
          <w:color w:val="000000" w:themeColor="text1"/>
        </w:rPr>
        <w:footnoteReference w:id="136"/>
      </w:r>
      <w:r w:rsidR="003B4FAF" w:rsidRPr="00B80AAA">
        <w:rPr>
          <w:color w:val="000000" w:themeColor="text1"/>
        </w:rPr>
        <w:t xml:space="preserve"> </w:t>
      </w:r>
      <w:r w:rsidRPr="00B80AAA">
        <w:rPr>
          <w:color w:val="000000" w:themeColor="text1"/>
        </w:rPr>
        <w:t>With respect to Lucia Camana</w:t>
      </w:r>
      <w:r w:rsidR="000F4FD5" w:rsidRPr="00B80AAA">
        <w:rPr>
          <w:color w:val="000000" w:themeColor="text1"/>
        </w:rPr>
        <w:t xml:space="preserve"> whose family was murdered when she was </w:t>
      </w:r>
      <w:r w:rsidR="000E7147" w:rsidRPr="00B80AAA">
        <w:rPr>
          <w:color w:val="000000" w:themeColor="text1"/>
        </w:rPr>
        <w:t>17</w:t>
      </w:r>
      <w:r w:rsidR="000E7147" w:rsidRPr="00B80AAA">
        <w:rPr>
          <w:rStyle w:val="FootnoteReference"/>
          <w:color w:val="000000" w:themeColor="text1"/>
        </w:rPr>
        <w:footnoteReference w:id="137"/>
      </w:r>
      <w:r w:rsidR="00BC1A85" w:rsidRPr="00B80AAA">
        <w:rPr>
          <w:color w:val="000000" w:themeColor="text1"/>
        </w:rPr>
        <w:t xml:space="preserve"> and who </w:t>
      </w:r>
      <w:r w:rsidR="00C238C3" w:rsidRPr="00B80AAA">
        <w:rPr>
          <w:color w:val="000000" w:themeColor="text1"/>
        </w:rPr>
        <w:t xml:space="preserve">had to flee to </w:t>
      </w:r>
      <w:r w:rsidRPr="00B80AAA">
        <w:rPr>
          <w:color w:val="000000" w:themeColor="text1"/>
        </w:rPr>
        <w:t xml:space="preserve">Santa Clara as a </w:t>
      </w:r>
      <w:r w:rsidR="00E20CCF" w:rsidRPr="00B80AAA">
        <w:rPr>
          <w:color w:val="000000" w:themeColor="text1"/>
        </w:rPr>
        <w:t>refugee,</w:t>
      </w:r>
      <w:r w:rsidR="00BC1A85" w:rsidRPr="00B80AAA">
        <w:rPr>
          <w:color w:val="000000" w:themeColor="text1"/>
        </w:rPr>
        <w:t xml:space="preserve"> her right to family was violated</w:t>
      </w:r>
      <w:r w:rsidRPr="00B80AAA">
        <w:rPr>
          <w:color w:val="000000" w:themeColor="text1"/>
        </w:rPr>
        <w:t>.</w:t>
      </w:r>
      <w:r w:rsidRPr="00B80AAA">
        <w:rPr>
          <w:rStyle w:val="FootnoteReference"/>
          <w:color w:val="000000" w:themeColor="text1"/>
        </w:rPr>
        <w:footnoteReference w:id="138"/>
      </w:r>
      <w:r w:rsidRPr="00B80AAA">
        <w:rPr>
          <w:color w:val="000000" w:themeColor="text1"/>
        </w:rPr>
        <w:t xml:space="preserve"> Considering the </w:t>
      </w:r>
      <w:r w:rsidRPr="00B80AAA">
        <w:rPr>
          <w:i/>
          <w:color w:val="000000" w:themeColor="text1"/>
        </w:rPr>
        <w:t xml:space="preserve">Chitay Nech et al. v. Guatemala, </w:t>
      </w:r>
      <w:r w:rsidRPr="00B80AAA">
        <w:rPr>
          <w:color w:val="000000" w:themeColor="text1"/>
        </w:rPr>
        <w:t>and the fact that the murders of the Edmundo Camana and his family are attributable to Santa Clara, the Sta</w:t>
      </w:r>
      <w:r w:rsidR="00C238C3" w:rsidRPr="00B80AAA">
        <w:rPr>
          <w:color w:val="000000" w:themeColor="text1"/>
        </w:rPr>
        <w:t xml:space="preserve">te </w:t>
      </w:r>
      <w:r w:rsidR="002005B8" w:rsidRPr="00B80AAA">
        <w:rPr>
          <w:color w:val="000000" w:themeColor="text1"/>
        </w:rPr>
        <w:t>violated the right to f</w:t>
      </w:r>
      <w:r w:rsidR="00C238C3" w:rsidRPr="00B80AAA">
        <w:rPr>
          <w:color w:val="000000" w:themeColor="text1"/>
        </w:rPr>
        <w:t xml:space="preserve">amily. </w:t>
      </w:r>
    </w:p>
    <w:p w:rsidR="00737915" w:rsidRPr="00B80AAA" w:rsidRDefault="00737915" w:rsidP="00B80AAA">
      <w:pPr>
        <w:pStyle w:val="Heading3"/>
        <w:spacing w:line="480" w:lineRule="auto"/>
        <w:jc w:val="both"/>
        <w:rPr>
          <w:rFonts w:ascii="Times New Roman" w:hAnsi="Times New Roman" w:cs="Times New Roman"/>
          <w:i/>
          <w:color w:val="auto"/>
        </w:rPr>
      </w:pPr>
      <w:bookmarkStart w:id="51" w:name="_Toc446831637"/>
      <w:r w:rsidRPr="00B80AAA">
        <w:rPr>
          <w:rFonts w:ascii="Times New Roman" w:hAnsi="Times New Roman" w:cs="Times New Roman"/>
          <w:i/>
          <w:color w:val="auto"/>
        </w:rPr>
        <w:t>3.3.6 Articles 8 and Article 25- Violation of the Rights to Fair Trial and Judicial Protection in respect of Edmundo Camana and his Family</w:t>
      </w:r>
      <w:bookmarkEnd w:id="51"/>
    </w:p>
    <w:p w:rsidR="00737915" w:rsidRPr="00B80AAA" w:rsidRDefault="00737915" w:rsidP="00B80AAA">
      <w:pPr>
        <w:spacing w:line="480" w:lineRule="auto"/>
        <w:jc w:val="both"/>
        <w:rPr>
          <w:color w:val="000000" w:themeColor="text1"/>
        </w:rPr>
      </w:pPr>
      <w:r w:rsidRPr="00B80AAA">
        <w:rPr>
          <w:color w:val="000000" w:themeColor="text1"/>
        </w:rPr>
        <w:t xml:space="preserve">Article 8(1) of the </w:t>
      </w:r>
      <w:r w:rsidR="00AE686B" w:rsidRPr="00B80AAA">
        <w:rPr>
          <w:i/>
          <w:color w:val="000000" w:themeColor="text1"/>
        </w:rPr>
        <w:t>ACHR</w:t>
      </w:r>
      <w:r w:rsidRPr="00B80AAA">
        <w:rPr>
          <w:rStyle w:val="FootnoteReference"/>
          <w:i/>
          <w:color w:val="000000" w:themeColor="text1"/>
        </w:rPr>
        <w:footnoteReference w:id="139"/>
      </w:r>
      <w:r w:rsidR="00886E65" w:rsidRPr="00B80AAA">
        <w:rPr>
          <w:color w:val="000000" w:themeColor="text1"/>
        </w:rPr>
        <w:t xml:space="preserve"> sets for</w:t>
      </w:r>
      <w:r w:rsidRPr="00B80AAA">
        <w:rPr>
          <w:color w:val="000000" w:themeColor="text1"/>
        </w:rPr>
        <w:t>th that “Every person has the right to a hearing, with due guarantees and within a reasonable time, by a competent, independent, and impartial tribunal, previously established by law.”</w:t>
      </w:r>
      <w:r w:rsidRPr="00B80AAA">
        <w:rPr>
          <w:rStyle w:val="FootnoteReference"/>
          <w:color w:val="000000" w:themeColor="text1"/>
        </w:rPr>
        <w:footnoteReference w:id="140"/>
      </w:r>
      <w:r w:rsidRPr="00B80AAA">
        <w:rPr>
          <w:color w:val="000000" w:themeColor="text1"/>
        </w:rPr>
        <w:t xml:space="preserve"> By virtue of Article 1(1) of the </w:t>
      </w:r>
      <w:r w:rsidRPr="00B80AAA">
        <w:rPr>
          <w:i/>
          <w:color w:val="000000" w:themeColor="text1"/>
        </w:rPr>
        <w:t>Convention</w:t>
      </w:r>
      <w:r w:rsidRPr="00B80AAA">
        <w:rPr>
          <w:rStyle w:val="FootnoteReference"/>
          <w:i/>
          <w:color w:val="000000" w:themeColor="text1"/>
        </w:rPr>
        <w:footnoteReference w:id="141"/>
      </w:r>
      <w:r w:rsidRPr="00B80AAA">
        <w:rPr>
          <w:color w:val="000000" w:themeColor="text1"/>
        </w:rPr>
        <w:t xml:space="preserve"> this also means that all State Parties to the </w:t>
      </w:r>
      <w:r w:rsidRPr="00B80AAA">
        <w:rPr>
          <w:i/>
          <w:color w:val="000000" w:themeColor="text1"/>
        </w:rPr>
        <w:t>Convention</w:t>
      </w:r>
      <w:r w:rsidRPr="00B80AAA">
        <w:rPr>
          <w:color w:val="000000" w:themeColor="text1"/>
        </w:rPr>
        <w:t xml:space="preserve"> have an obligation to effectively investigate serious violations of the </w:t>
      </w:r>
      <w:r w:rsidRPr="00B80AAA">
        <w:rPr>
          <w:i/>
          <w:color w:val="000000" w:themeColor="text1"/>
        </w:rPr>
        <w:t>Convention</w:t>
      </w:r>
      <w:r w:rsidRPr="00B80AAA">
        <w:rPr>
          <w:color w:val="000000" w:themeColor="text1"/>
        </w:rPr>
        <w:t xml:space="preserve"> as well as to prosecute those responsible for the violations.</w:t>
      </w:r>
      <w:r w:rsidRPr="00B80AAA">
        <w:rPr>
          <w:rStyle w:val="FootnoteReference"/>
          <w:color w:val="000000" w:themeColor="text1"/>
        </w:rPr>
        <w:footnoteReference w:id="142"/>
      </w:r>
      <w:r w:rsidRPr="00B80AAA">
        <w:rPr>
          <w:color w:val="000000" w:themeColor="text1"/>
        </w:rPr>
        <w:t xml:space="preserve"> Negle</w:t>
      </w:r>
      <w:r w:rsidR="00953F63" w:rsidRPr="00B80AAA">
        <w:rPr>
          <w:color w:val="000000" w:themeColor="text1"/>
        </w:rPr>
        <w:t>ct and failure to do so by the S</w:t>
      </w:r>
      <w:r w:rsidRPr="00B80AAA">
        <w:rPr>
          <w:color w:val="000000" w:themeColor="text1"/>
        </w:rPr>
        <w:t>tate would result in the State violating the victim’s right to a fair trial.</w:t>
      </w:r>
      <w:r w:rsidRPr="00B80AAA">
        <w:rPr>
          <w:rStyle w:val="FootnoteReference"/>
          <w:color w:val="000000" w:themeColor="text1"/>
        </w:rPr>
        <w:footnoteReference w:id="143"/>
      </w:r>
      <w:r w:rsidRPr="00B80AAA">
        <w:rPr>
          <w:color w:val="000000" w:themeColor="text1"/>
        </w:rPr>
        <w:t xml:space="preserve"> Central to this is the right to a hearing within a reasonable time. The Court, through the case of </w:t>
      </w:r>
      <w:r w:rsidR="00886E65" w:rsidRPr="00B80AAA">
        <w:rPr>
          <w:i/>
          <w:color w:val="000000" w:themeColor="text1"/>
        </w:rPr>
        <w:t xml:space="preserve">Baldeón-García </w:t>
      </w:r>
      <w:r w:rsidRPr="00B80AAA">
        <w:rPr>
          <w:i/>
          <w:color w:val="000000" w:themeColor="text1"/>
        </w:rPr>
        <w:t>v</w:t>
      </w:r>
      <w:r w:rsidR="00886E65" w:rsidRPr="00B80AAA">
        <w:rPr>
          <w:i/>
          <w:color w:val="000000" w:themeColor="text1"/>
        </w:rPr>
        <w:t>. Perú</w:t>
      </w:r>
      <w:r w:rsidRPr="00B80AAA">
        <w:rPr>
          <w:i/>
          <w:color w:val="000000" w:themeColor="text1"/>
        </w:rPr>
        <w:t>,</w:t>
      </w:r>
      <w:r w:rsidRPr="00B80AAA">
        <w:rPr>
          <w:rStyle w:val="FootnoteReference"/>
          <w:i/>
          <w:color w:val="000000" w:themeColor="text1"/>
        </w:rPr>
        <w:footnoteReference w:id="144"/>
      </w:r>
      <w:r w:rsidRPr="00B80AAA">
        <w:rPr>
          <w:i/>
          <w:color w:val="000000" w:themeColor="text1"/>
        </w:rPr>
        <w:t xml:space="preserve"> </w:t>
      </w:r>
      <w:r w:rsidRPr="00B80AAA">
        <w:rPr>
          <w:color w:val="000000" w:themeColor="text1"/>
        </w:rPr>
        <w:t>has developed three elements to determine reasonableness.</w:t>
      </w:r>
      <w:r w:rsidRPr="00B80AAA">
        <w:rPr>
          <w:rStyle w:val="FootnoteReference"/>
          <w:color w:val="000000" w:themeColor="text1"/>
        </w:rPr>
        <w:footnoteReference w:id="145"/>
      </w:r>
      <w:r w:rsidRPr="00B80AAA">
        <w:rPr>
          <w:color w:val="000000" w:themeColor="text1"/>
        </w:rPr>
        <w:t xml:space="preserve"> First the complexity of the matter; second the procedural activities carried out by the interested party; and the conduct of judicial authorities. </w:t>
      </w:r>
    </w:p>
    <w:p w:rsidR="00737915" w:rsidRPr="00B80AAA" w:rsidRDefault="00737915" w:rsidP="00B80AAA">
      <w:pPr>
        <w:spacing w:line="480" w:lineRule="auto"/>
        <w:jc w:val="both"/>
        <w:rPr>
          <w:rFonts w:eastAsia="Times New Roman"/>
          <w:color w:val="000000" w:themeColor="text1"/>
          <w:lang w:eastAsia="en-TT"/>
        </w:rPr>
      </w:pPr>
      <w:r w:rsidRPr="00B80AAA">
        <w:rPr>
          <w:color w:val="000000" w:themeColor="text1"/>
        </w:rPr>
        <w:lastRenderedPageBreak/>
        <w:t xml:space="preserve">In </w:t>
      </w:r>
      <w:r w:rsidRPr="00B80AAA">
        <w:rPr>
          <w:i/>
          <w:color w:val="000000" w:themeColor="text1"/>
        </w:rPr>
        <w:t>Baldeón-Garcia v</w:t>
      </w:r>
      <w:r w:rsidR="00886E65" w:rsidRPr="00B80AAA">
        <w:rPr>
          <w:i/>
          <w:color w:val="000000" w:themeColor="text1"/>
        </w:rPr>
        <w:t>. Perú</w:t>
      </w:r>
      <w:r w:rsidRPr="00B80AAA">
        <w:rPr>
          <w:color w:val="000000" w:themeColor="text1"/>
        </w:rPr>
        <w:t xml:space="preserve">, </w:t>
      </w:r>
      <w:r w:rsidRPr="00B80AAA">
        <w:rPr>
          <w:rFonts w:eastAsia="Times New Roman"/>
          <w:color w:val="000000" w:themeColor="text1"/>
          <w:lang w:eastAsia="en-TT"/>
        </w:rPr>
        <w:t>the Court considered that it was not a complex case, as it only involved one victim, who had been identified and had sufficient grounds to conduct criminal proceedings, and where there was no objection to jurisdiction.</w:t>
      </w:r>
      <w:r w:rsidRPr="00B80AAA">
        <w:rPr>
          <w:rStyle w:val="FootnoteReference"/>
          <w:rFonts w:eastAsia="Times New Roman"/>
          <w:color w:val="000000" w:themeColor="text1"/>
          <w:lang w:eastAsia="en-TT"/>
        </w:rPr>
        <w:footnoteReference w:id="146"/>
      </w:r>
      <w:r w:rsidRPr="00B80AAA">
        <w:rPr>
          <w:rFonts w:eastAsia="Times New Roman"/>
          <w:color w:val="000000" w:themeColor="text1"/>
          <w:lang w:eastAsia="en-TT"/>
        </w:rPr>
        <w:t xml:space="preserve"> In this present case involving Edmundo Camana and his family, it can be reasonable to say that it is a complex one, as it</w:t>
      </w:r>
      <w:r w:rsidR="009871FD" w:rsidRPr="00B80AAA">
        <w:rPr>
          <w:rFonts w:eastAsia="Times New Roman"/>
          <w:color w:val="000000" w:themeColor="text1"/>
          <w:lang w:eastAsia="en-TT"/>
        </w:rPr>
        <w:t xml:space="preserve"> involves more than one victim</w:t>
      </w:r>
      <w:r w:rsidRPr="00B80AAA">
        <w:rPr>
          <w:rFonts w:eastAsia="Times New Roman"/>
          <w:color w:val="000000" w:themeColor="text1"/>
          <w:lang w:eastAsia="en-TT"/>
        </w:rPr>
        <w:t>, with state responsibility being applied extraterritorially.</w:t>
      </w:r>
      <w:r w:rsidRPr="00B80AAA">
        <w:rPr>
          <w:rStyle w:val="FootnoteReference"/>
          <w:rFonts w:eastAsia="Times New Roman"/>
          <w:color w:val="000000" w:themeColor="text1"/>
          <w:lang w:eastAsia="en-TT"/>
        </w:rPr>
        <w:footnoteReference w:id="147"/>
      </w:r>
      <w:r w:rsidRPr="00B80AAA">
        <w:rPr>
          <w:rFonts w:eastAsia="Times New Roman"/>
          <w:color w:val="000000" w:themeColor="text1"/>
          <w:lang w:eastAsia="en-TT"/>
        </w:rPr>
        <w:t xml:space="preserve"> </w:t>
      </w:r>
      <w:r w:rsidRPr="00B80AAA">
        <w:rPr>
          <w:color w:val="000000" w:themeColor="text1"/>
        </w:rPr>
        <w:t xml:space="preserve">In dealing with the second element of reasonableness, the Court in </w:t>
      </w:r>
      <w:r w:rsidRPr="00B80AAA">
        <w:rPr>
          <w:i/>
          <w:color w:val="000000" w:themeColor="text1"/>
        </w:rPr>
        <w:t>Baldeón-Garcia</w:t>
      </w:r>
      <w:r w:rsidRPr="00B80AAA">
        <w:rPr>
          <w:color w:val="000000" w:themeColor="text1"/>
        </w:rPr>
        <w:t xml:space="preserve"> identified that </w:t>
      </w:r>
      <w:r w:rsidRPr="00B80AAA">
        <w:rPr>
          <w:rFonts w:eastAsia="Times New Roman"/>
          <w:color w:val="000000" w:themeColor="text1"/>
          <w:lang w:eastAsia="en-TT"/>
        </w:rPr>
        <w:t>the submi</w:t>
      </w:r>
      <w:r w:rsidR="00BC11BC" w:rsidRPr="00B80AAA">
        <w:rPr>
          <w:rFonts w:eastAsia="Times New Roman"/>
          <w:color w:val="000000" w:themeColor="text1"/>
          <w:lang w:eastAsia="en-TT"/>
        </w:rPr>
        <w:t>ssion of various complaints to S</w:t>
      </w:r>
      <w:r w:rsidRPr="00B80AAA">
        <w:rPr>
          <w:rFonts w:eastAsia="Times New Roman"/>
          <w:color w:val="000000" w:themeColor="text1"/>
          <w:lang w:eastAsia="en-TT"/>
        </w:rPr>
        <w:t>tate authorities by Mr Baldeón-Garcia’s family, on the lack of progress on proceedings, were procedural activities.</w:t>
      </w:r>
      <w:r w:rsidRPr="00B80AAA">
        <w:rPr>
          <w:rStyle w:val="FootnoteReference"/>
          <w:rFonts w:eastAsia="Times New Roman"/>
          <w:color w:val="000000" w:themeColor="text1"/>
          <w:lang w:eastAsia="en-TT"/>
        </w:rPr>
        <w:footnoteReference w:id="148"/>
      </w:r>
      <w:r w:rsidRPr="00B80AAA">
        <w:rPr>
          <w:rFonts w:eastAsia="Times New Roman"/>
          <w:color w:val="000000" w:themeColor="text1"/>
          <w:lang w:eastAsia="en-TT"/>
        </w:rPr>
        <w:t xml:space="preserve"> In this case the relatives of Edmundo Camana, his wife and children, </w:t>
      </w:r>
      <w:r w:rsidRPr="00B80AAA">
        <w:rPr>
          <w:color w:val="000000" w:themeColor="text1"/>
        </w:rPr>
        <w:t>have actively carried out activities, such as calling for an expansion of the criminal investigation and filing both criminal and civil actions before the Supreme Court of Santa Clara.</w:t>
      </w:r>
      <w:r w:rsidRPr="00B80AAA">
        <w:rPr>
          <w:rStyle w:val="FootnoteReference"/>
          <w:color w:val="000000" w:themeColor="text1"/>
        </w:rPr>
        <w:footnoteReference w:id="149"/>
      </w:r>
      <w:r w:rsidR="003B4FAF" w:rsidRPr="00B80AAA">
        <w:rPr>
          <w:color w:val="000000" w:themeColor="text1"/>
        </w:rPr>
        <w:t xml:space="preserve"> </w:t>
      </w:r>
      <w:r w:rsidRPr="00B80AAA">
        <w:rPr>
          <w:color w:val="000000" w:themeColor="text1"/>
        </w:rPr>
        <w:t xml:space="preserve">Concerning the third element of reasonableness, the conduct of judicial authorities, the Court in </w:t>
      </w:r>
      <w:r w:rsidRPr="00B80AAA">
        <w:rPr>
          <w:i/>
          <w:color w:val="000000" w:themeColor="text1"/>
        </w:rPr>
        <w:t>Baldeón-Garcia v Peru</w:t>
      </w:r>
      <w:r w:rsidRPr="00B80AAA">
        <w:rPr>
          <w:color w:val="000000" w:themeColor="text1"/>
        </w:rPr>
        <w:t xml:space="preserve"> stated that t</w:t>
      </w:r>
      <w:r w:rsidRPr="00B80AAA">
        <w:rPr>
          <w:rFonts w:eastAsia="Times New Roman"/>
          <w:color w:val="000000" w:themeColor="text1"/>
          <w:lang w:eastAsia="en-TT"/>
        </w:rPr>
        <w:t>he “reasonableness of that time must be assessed in relation to the total time demanded by criminal proceedings.”</w:t>
      </w:r>
      <w:r w:rsidRPr="00B80AAA">
        <w:rPr>
          <w:rStyle w:val="FootnoteReference"/>
          <w:rFonts w:eastAsia="Times New Roman"/>
          <w:color w:val="000000" w:themeColor="text1"/>
          <w:lang w:eastAsia="en-TT"/>
        </w:rPr>
        <w:footnoteReference w:id="150"/>
      </w:r>
      <w:r w:rsidRPr="00B80AAA">
        <w:rPr>
          <w:rFonts w:eastAsia="Times New Roman"/>
          <w:color w:val="000000" w:themeColor="text1"/>
          <w:lang w:eastAsia="en-TT"/>
        </w:rPr>
        <w:t xml:space="preserve"> Here, the Court held the delay to be unreasonable as 15 years had gone by between the occurrence of the events, and the judicial proceedings, which were still at the enquiry stage and thus amounted to a violation of the due process of law.</w:t>
      </w:r>
      <w:r w:rsidRPr="00B80AAA">
        <w:rPr>
          <w:rStyle w:val="FootnoteReference"/>
          <w:rFonts w:eastAsia="Times New Roman"/>
          <w:color w:val="000000" w:themeColor="text1"/>
          <w:lang w:eastAsia="en-TT"/>
        </w:rPr>
        <w:footnoteReference w:id="151"/>
      </w:r>
      <w:r w:rsidR="003B4FAF" w:rsidRPr="00B80AAA">
        <w:rPr>
          <w:rFonts w:eastAsia="Times New Roman"/>
          <w:color w:val="000000" w:themeColor="text1"/>
          <w:lang w:eastAsia="en-TT"/>
        </w:rPr>
        <w:t xml:space="preserve"> </w:t>
      </w:r>
      <w:r w:rsidRPr="00B80AAA">
        <w:rPr>
          <w:color w:val="000000" w:themeColor="text1"/>
        </w:rPr>
        <w:t>Since the murder of Edmundo Camana and his family in 1994, there has been excessive delay in t</w:t>
      </w:r>
      <w:r w:rsidR="00886E65" w:rsidRPr="00B80AAA">
        <w:rPr>
          <w:color w:val="000000" w:themeColor="text1"/>
        </w:rPr>
        <w:t>he investigation. It has been 16</w:t>
      </w:r>
      <w:r w:rsidRPr="00B80AAA">
        <w:rPr>
          <w:color w:val="000000" w:themeColor="text1"/>
        </w:rPr>
        <w:t xml:space="preserve"> years since the mur</w:t>
      </w:r>
      <w:r w:rsidR="00886E65" w:rsidRPr="00B80AAA">
        <w:rPr>
          <w:color w:val="000000" w:themeColor="text1"/>
        </w:rPr>
        <w:t>ders of the Camana family and 8</w:t>
      </w:r>
      <w:r w:rsidRPr="00B80AAA">
        <w:rPr>
          <w:color w:val="000000" w:themeColor="text1"/>
        </w:rPr>
        <w:t xml:space="preserve"> years since that of Lucia Camana, without an effective remedy</w:t>
      </w:r>
      <w:r w:rsidR="00886E65" w:rsidRPr="00B80AAA">
        <w:rPr>
          <w:color w:val="000000" w:themeColor="text1"/>
        </w:rPr>
        <w:t xml:space="preserve"> as stated previously</w:t>
      </w:r>
      <w:r w:rsidRPr="00B80AAA">
        <w:rPr>
          <w:color w:val="000000" w:themeColor="text1"/>
        </w:rPr>
        <w:t xml:space="preserve">.  </w:t>
      </w:r>
    </w:p>
    <w:p w:rsidR="00737915" w:rsidRPr="00B80AAA" w:rsidRDefault="00737915" w:rsidP="00B80AAA">
      <w:pPr>
        <w:spacing w:line="480" w:lineRule="auto"/>
        <w:jc w:val="both"/>
        <w:rPr>
          <w:color w:val="000000" w:themeColor="text1"/>
        </w:rPr>
      </w:pPr>
      <w:r w:rsidRPr="00B80AAA">
        <w:rPr>
          <w:color w:val="000000" w:themeColor="text1"/>
        </w:rPr>
        <w:lastRenderedPageBreak/>
        <w:t xml:space="preserve">In the case of </w:t>
      </w:r>
      <w:r w:rsidR="00886E65" w:rsidRPr="00B80AAA">
        <w:rPr>
          <w:i/>
          <w:color w:val="000000" w:themeColor="text1"/>
        </w:rPr>
        <w:t>Baldeón-García v Perú</w:t>
      </w:r>
      <w:r w:rsidR="003B4FAF" w:rsidRPr="00B80AAA">
        <w:rPr>
          <w:i/>
          <w:color w:val="000000" w:themeColor="text1"/>
        </w:rPr>
        <w:t>,</w:t>
      </w:r>
      <w:r w:rsidRPr="00B80AAA">
        <w:rPr>
          <w:rStyle w:val="FootnoteReference"/>
          <w:i/>
          <w:color w:val="000000" w:themeColor="text1"/>
        </w:rPr>
        <w:footnoteReference w:id="152"/>
      </w:r>
      <w:r w:rsidRPr="00B80AAA">
        <w:rPr>
          <w:color w:val="000000" w:themeColor="text1"/>
        </w:rPr>
        <w:t xml:space="preserve"> the Court found that the lack of an effective remedy and the denial of justice to the family of the deceased victim was evidence of impunity.</w:t>
      </w:r>
      <w:r w:rsidRPr="00B80AAA">
        <w:rPr>
          <w:rStyle w:val="FootnoteReference"/>
          <w:color w:val="000000" w:themeColor="text1"/>
        </w:rPr>
        <w:footnoteReference w:id="153"/>
      </w:r>
      <w:r w:rsidRPr="00B80AAA">
        <w:rPr>
          <w:color w:val="000000" w:themeColor="text1"/>
        </w:rPr>
        <w:t xml:space="preserve"> In this present case, Santa Clara has both denied justice and forgone an effective remedy in favour of impunity. It has been well-established through the </w:t>
      </w:r>
      <w:r w:rsidRPr="00B80AAA">
        <w:rPr>
          <w:i/>
          <w:color w:val="000000" w:themeColor="text1"/>
        </w:rPr>
        <w:t>US Interdiction</w:t>
      </w:r>
      <w:r w:rsidR="00886E65" w:rsidRPr="00B80AAA">
        <w:rPr>
          <w:i/>
          <w:color w:val="000000" w:themeColor="text1"/>
        </w:rPr>
        <w:t xml:space="preserve"> of Haitians on High Seas</w:t>
      </w:r>
      <w:r w:rsidRPr="00B80AAA">
        <w:rPr>
          <w:i/>
          <w:color w:val="000000" w:themeColor="text1"/>
        </w:rPr>
        <w:t xml:space="preserve"> </w:t>
      </w:r>
      <w:r w:rsidR="00886E65" w:rsidRPr="00B80AAA">
        <w:rPr>
          <w:color w:val="000000" w:themeColor="text1"/>
        </w:rPr>
        <w:t>c</w:t>
      </w:r>
      <w:r w:rsidRPr="00B80AAA">
        <w:rPr>
          <w:color w:val="000000" w:themeColor="text1"/>
        </w:rPr>
        <w:t>ase,</w:t>
      </w:r>
      <w:r w:rsidRPr="00B80AAA">
        <w:rPr>
          <w:rStyle w:val="FootnoteReference"/>
          <w:color w:val="000000" w:themeColor="text1"/>
        </w:rPr>
        <w:footnoteReference w:id="154"/>
      </w:r>
      <w:r w:rsidR="00886E65" w:rsidRPr="00B80AAA">
        <w:rPr>
          <w:color w:val="000000" w:themeColor="text1"/>
        </w:rPr>
        <w:t xml:space="preserve"> that as a State Party to the </w:t>
      </w:r>
      <w:r w:rsidR="00886E65" w:rsidRPr="00B80AAA">
        <w:rPr>
          <w:i/>
          <w:color w:val="000000" w:themeColor="text1"/>
        </w:rPr>
        <w:t>ACHR</w:t>
      </w:r>
      <w:r w:rsidRPr="00B80AAA">
        <w:rPr>
          <w:color w:val="000000" w:themeColor="text1"/>
        </w:rPr>
        <w:t>, Santa Clara had an extraterritorial obligation to investigate, provide a fair trial and to give an effective remedy to the relatives of Edmundo Camana and his family. With respect to Army Coronel David Nelson, a deputy attaché who engaged in “unofficial acts” which did not attract functional immunity</w:t>
      </w:r>
      <w:r w:rsidR="003B4FAF" w:rsidRPr="00B80AAA">
        <w:rPr>
          <w:color w:val="000000" w:themeColor="text1"/>
        </w:rPr>
        <w:t>,</w:t>
      </w:r>
      <w:r w:rsidRPr="00B80AAA">
        <w:rPr>
          <w:rStyle w:val="FootnoteReference"/>
          <w:color w:val="000000" w:themeColor="text1"/>
        </w:rPr>
        <w:footnoteReference w:id="155"/>
      </w:r>
      <w:r w:rsidR="003B4FAF" w:rsidRPr="00B80AAA">
        <w:rPr>
          <w:color w:val="000000" w:themeColor="text1"/>
        </w:rPr>
        <w:t xml:space="preserve"> </w:t>
      </w:r>
      <w:r w:rsidRPr="00B80AAA">
        <w:rPr>
          <w:color w:val="000000" w:themeColor="text1"/>
        </w:rPr>
        <w:t>Santa Clara promoted impunity by protecting him under the guise of functional immunity, and by</w:t>
      </w:r>
      <w:r w:rsidR="00886E65" w:rsidRPr="00B80AAA">
        <w:rPr>
          <w:color w:val="000000" w:themeColor="text1"/>
        </w:rPr>
        <w:t xml:space="preserve"> claiming prematurely that its C</w:t>
      </w:r>
      <w:r w:rsidRPr="00B80AAA">
        <w:rPr>
          <w:color w:val="000000" w:themeColor="text1"/>
        </w:rPr>
        <w:t>onstitution prohibited the extradition of citizens. Santa Clara has</w:t>
      </w:r>
      <w:r w:rsidR="002A0DE8" w:rsidRPr="00B80AAA">
        <w:rPr>
          <w:color w:val="000000" w:themeColor="text1"/>
        </w:rPr>
        <w:t xml:space="preserve"> therefore</w:t>
      </w:r>
      <w:r w:rsidRPr="00B80AAA">
        <w:rPr>
          <w:color w:val="000000" w:themeColor="text1"/>
        </w:rPr>
        <w:t xml:space="preserve"> violated its obligations under Articles 1 and 3 of the </w:t>
      </w:r>
      <w:r w:rsidRPr="00B80AAA">
        <w:rPr>
          <w:i/>
          <w:color w:val="000000" w:themeColor="text1"/>
        </w:rPr>
        <w:t>Inter-American Convention on Extradition,</w:t>
      </w:r>
      <w:r w:rsidRPr="00B80AAA">
        <w:rPr>
          <w:rStyle w:val="FootnoteReference"/>
          <w:i/>
          <w:color w:val="000000" w:themeColor="text1"/>
        </w:rPr>
        <w:footnoteReference w:id="156"/>
      </w:r>
      <w:r w:rsidRPr="00B80AAA">
        <w:rPr>
          <w:i/>
          <w:color w:val="000000" w:themeColor="text1"/>
        </w:rPr>
        <w:t xml:space="preserve"> </w:t>
      </w:r>
      <w:r w:rsidRPr="00B80AAA">
        <w:rPr>
          <w:color w:val="000000" w:themeColor="text1"/>
        </w:rPr>
        <w:t xml:space="preserve">and Article 1(1) of the </w:t>
      </w:r>
      <w:r w:rsidRPr="00B80AAA">
        <w:rPr>
          <w:i/>
          <w:color w:val="000000" w:themeColor="text1"/>
        </w:rPr>
        <w:t>ACHR</w:t>
      </w:r>
      <w:r w:rsidRPr="00B80AAA">
        <w:rPr>
          <w:color w:val="000000" w:themeColor="text1"/>
        </w:rPr>
        <w:t xml:space="preserve">, in keeping with Article 27 of the </w:t>
      </w:r>
      <w:r w:rsidRPr="00B80AAA">
        <w:rPr>
          <w:i/>
          <w:color w:val="000000" w:themeColor="text1"/>
        </w:rPr>
        <w:t>VCLT.</w:t>
      </w:r>
      <w:r w:rsidRPr="00B80AAA">
        <w:rPr>
          <w:rStyle w:val="FootnoteReference"/>
          <w:i/>
          <w:color w:val="000000" w:themeColor="text1"/>
        </w:rPr>
        <w:footnoteReference w:id="157"/>
      </w:r>
      <w:r w:rsidRPr="00B80AAA">
        <w:rPr>
          <w:color w:val="000000" w:themeColor="text1"/>
        </w:rPr>
        <w:t xml:space="preserve">  </w:t>
      </w:r>
    </w:p>
    <w:p w:rsidR="00F446F2" w:rsidRPr="00B80AAA" w:rsidRDefault="00737915" w:rsidP="00B80AAA">
      <w:pPr>
        <w:spacing w:line="480" w:lineRule="auto"/>
        <w:jc w:val="both"/>
        <w:rPr>
          <w:color w:val="000000" w:themeColor="text1"/>
        </w:rPr>
      </w:pPr>
      <w:r w:rsidRPr="00B80AAA">
        <w:rPr>
          <w:color w:val="000000" w:themeColor="text1"/>
        </w:rPr>
        <w:t xml:space="preserve">Article 25 of the </w:t>
      </w:r>
      <w:r w:rsidRPr="00B80AAA">
        <w:rPr>
          <w:i/>
          <w:color w:val="000000" w:themeColor="text1"/>
        </w:rPr>
        <w:t>Convention</w:t>
      </w:r>
      <w:r w:rsidRPr="00B80AAA">
        <w:rPr>
          <w:rStyle w:val="FootnoteReference"/>
          <w:color w:val="000000" w:themeColor="text1"/>
        </w:rPr>
        <w:footnoteReference w:id="158"/>
      </w:r>
      <w:r w:rsidRPr="00B80AAA">
        <w:rPr>
          <w:color w:val="000000" w:themeColor="text1"/>
        </w:rPr>
        <w:t xml:space="preserve"> sets forth the right to judicial protection. This means that everyone should be afforded the right to “simple and prompt recourse, or any other effective recourse.</w:t>
      </w:r>
      <w:r w:rsidR="00AA6FF6" w:rsidRPr="00B80AAA">
        <w:rPr>
          <w:color w:val="000000" w:themeColor="text1"/>
        </w:rPr>
        <w:t>”</w:t>
      </w:r>
      <w:r w:rsidRPr="00B80AAA">
        <w:rPr>
          <w:color w:val="000000" w:themeColor="text1"/>
        </w:rPr>
        <w:t xml:space="preserve"> The Court has maintained that the State’s obligation is not just to provide a judicial remedy, but rather the State’s obligation is a positive one whereby the State has to ensure that the remedy is “truly effective to establish whether or not there has been a human rights violation and </w:t>
      </w:r>
      <w:r w:rsidRPr="00B80AAA">
        <w:rPr>
          <w:color w:val="000000" w:themeColor="text1"/>
        </w:rPr>
        <w:lastRenderedPageBreak/>
        <w:t>to provide reparation.”</w:t>
      </w:r>
      <w:r w:rsidRPr="00B80AAA">
        <w:rPr>
          <w:rStyle w:val="FootnoteReference"/>
          <w:color w:val="000000" w:themeColor="text1"/>
        </w:rPr>
        <w:footnoteReference w:id="159"/>
      </w:r>
      <w:r w:rsidR="003B4FAF" w:rsidRPr="00B80AAA">
        <w:rPr>
          <w:color w:val="000000" w:themeColor="text1"/>
        </w:rPr>
        <w:t xml:space="preserve"> </w:t>
      </w:r>
      <w:r w:rsidRPr="00B80AAA">
        <w:rPr>
          <w:color w:val="000000" w:themeColor="text1"/>
        </w:rPr>
        <w:t xml:space="preserve">In this case the </w:t>
      </w:r>
      <w:r w:rsidR="007B55E4" w:rsidRPr="00B80AAA">
        <w:rPr>
          <w:color w:val="000000" w:themeColor="text1"/>
        </w:rPr>
        <w:t xml:space="preserve">lack of </w:t>
      </w:r>
      <w:r w:rsidRPr="00B80AAA">
        <w:rPr>
          <w:color w:val="000000" w:themeColor="text1"/>
        </w:rPr>
        <w:t>re</w:t>
      </w:r>
      <w:r w:rsidR="007B55E4" w:rsidRPr="00B80AAA">
        <w:rPr>
          <w:color w:val="000000" w:themeColor="text1"/>
        </w:rPr>
        <w:t>medy provided by the S</w:t>
      </w:r>
      <w:r w:rsidR="00372643" w:rsidRPr="00B80AAA">
        <w:rPr>
          <w:color w:val="000000" w:themeColor="text1"/>
        </w:rPr>
        <w:t>tate of S</w:t>
      </w:r>
      <w:r w:rsidR="007B55E4" w:rsidRPr="00B80AAA">
        <w:rPr>
          <w:color w:val="000000" w:themeColor="text1"/>
        </w:rPr>
        <w:t xml:space="preserve">anta Clara, </w:t>
      </w:r>
      <w:r w:rsidRPr="00B80AAA">
        <w:rPr>
          <w:color w:val="000000" w:themeColor="text1"/>
        </w:rPr>
        <w:t xml:space="preserve">is deemed ineffective </w:t>
      </w:r>
      <w:r w:rsidR="007B55E4" w:rsidRPr="00B80AAA">
        <w:rPr>
          <w:color w:val="000000" w:themeColor="text1"/>
        </w:rPr>
        <w:t xml:space="preserve">and inadequate </w:t>
      </w:r>
      <w:r w:rsidRPr="00B80AAA">
        <w:rPr>
          <w:color w:val="000000" w:themeColor="text1"/>
        </w:rPr>
        <w:t>as it does not suitably address the fact that Santa Clara</w:t>
      </w:r>
      <w:r w:rsidR="007B55E4" w:rsidRPr="00B80AAA">
        <w:rPr>
          <w:color w:val="000000" w:themeColor="text1"/>
        </w:rPr>
        <w:t xml:space="preserve"> assisted Miningcorp S.A in the commission of an internationally wrongful act,</w:t>
      </w:r>
      <w:r w:rsidRPr="00B80AAA">
        <w:rPr>
          <w:color w:val="000000" w:themeColor="text1"/>
        </w:rPr>
        <w:t xml:space="preserve"> has not done a proper investigation into Miningcorp S.A’s links to the murders, </w:t>
      </w:r>
      <w:r w:rsidR="007B55E4" w:rsidRPr="00B80AAA">
        <w:rPr>
          <w:color w:val="000000" w:themeColor="text1"/>
        </w:rPr>
        <w:t xml:space="preserve">and </w:t>
      </w:r>
      <w:r w:rsidRPr="00B80AAA">
        <w:rPr>
          <w:color w:val="000000" w:themeColor="text1"/>
        </w:rPr>
        <w:t>still uses extradition as a mechanism to ensure the impunity of the accused</w:t>
      </w:r>
      <w:r w:rsidR="007B55E4" w:rsidRPr="00B80AAA">
        <w:rPr>
          <w:color w:val="000000" w:themeColor="text1"/>
        </w:rPr>
        <w:t>. Furthermore the compensation settlement provided by Miningcorp S.A is nominal only representing</w:t>
      </w:r>
      <w:r w:rsidRPr="00B80AAA">
        <w:rPr>
          <w:color w:val="000000" w:themeColor="text1"/>
        </w:rPr>
        <w:t xml:space="preserve"> 4.16% of the US $36 billion accessed by Miningcorp S.A through the</w:t>
      </w:r>
      <w:r w:rsidR="007B55E4" w:rsidRPr="00B80AAA">
        <w:rPr>
          <w:color w:val="000000" w:themeColor="text1"/>
        </w:rPr>
        <w:t xml:space="preserve"> Public Foreign Investment Fund</w:t>
      </w:r>
      <w:r w:rsidRPr="00B80AAA">
        <w:rPr>
          <w:rStyle w:val="FootnoteReference"/>
          <w:color w:val="000000" w:themeColor="text1"/>
        </w:rPr>
        <w:footnoteReference w:id="160"/>
      </w:r>
      <w:r w:rsidR="007B55E4" w:rsidRPr="00B80AAA">
        <w:rPr>
          <w:color w:val="000000" w:themeColor="text1"/>
        </w:rPr>
        <w:t xml:space="preserve"> and cannot address the wrongs done. </w:t>
      </w:r>
    </w:p>
    <w:p w:rsidR="00F446F2" w:rsidRPr="00B80AAA" w:rsidRDefault="00BB534A" w:rsidP="00B80AAA">
      <w:pPr>
        <w:pStyle w:val="Heading2"/>
        <w:spacing w:line="480" w:lineRule="auto"/>
        <w:jc w:val="both"/>
        <w:rPr>
          <w:rFonts w:ascii="Times New Roman" w:hAnsi="Times New Roman" w:cs="Times New Roman"/>
          <w:color w:val="000000" w:themeColor="text1"/>
          <w:sz w:val="24"/>
          <w:szCs w:val="24"/>
        </w:rPr>
      </w:pPr>
      <w:bookmarkStart w:id="52" w:name="_Toc446831638"/>
      <w:r w:rsidRPr="00B80AAA">
        <w:rPr>
          <w:rFonts w:ascii="Times New Roman" w:hAnsi="Times New Roman" w:cs="Times New Roman"/>
          <w:color w:val="000000" w:themeColor="text1"/>
          <w:sz w:val="24"/>
          <w:szCs w:val="24"/>
        </w:rPr>
        <w:t>3.4 Santa Clara has violated Articles 5, 8, 21, and 25 of the American Convention, all read in conjunction with A</w:t>
      </w:r>
      <w:r w:rsidR="003B4FAF" w:rsidRPr="00B80AAA">
        <w:rPr>
          <w:rFonts w:ascii="Times New Roman" w:hAnsi="Times New Roman" w:cs="Times New Roman"/>
          <w:color w:val="000000" w:themeColor="text1"/>
          <w:sz w:val="24"/>
          <w:szCs w:val="24"/>
        </w:rPr>
        <w:t>rticles 1(1) and 2 in respect of</w:t>
      </w:r>
      <w:r w:rsidRPr="00B80AAA">
        <w:rPr>
          <w:rFonts w:ascii="Times New Roman" w:hAnsi="Times New Roman" w:cs="Times New Roman"/>
          <w:color w:val="000000" w:themeColor="text1"/>
          <w:sz w:val="24"/>
          <w:szCs w:val="24"/>
        </w:rPr>
        <w:t xml:space="preserve"> the Pichicha people.</w:t>
      </w:r>
      <w:bookmarkStart w:id="53" w:name="_Toc444210336"/>
      <w:bookmarkStart w:id="54" w:name="_Toc441798783"/>
      <w:bookmarkStart w:id="55" w:name="_Toc440048751"/>
      <w:bookmarkStart w:id="56" w:name="_Toc440366957"/>
      <w:bookmarkEnd w:id="52"/>
    </w:p>
    <w:p w:rsidR="00F446F2" w:rsidRPr="00B80AAA" w:rsidRDefault="00BB534A" w:rsidP="00B80AAA">
      <w:pPr>
        <w:pStyle w:val="Heading3"/>
        <w:spacing w:line="480" w:lineRule="auto"/>
        <w:jc w:val="both"/>
        <w:rPr>
          <w:rFonts w:ascii="Times New Roman" w:hAnsi="Times New Roman" w:cs="Times New Roman"/>
          <w:i/>
          <w:color w:val="000000" w:themeColor="text1"/>
        </w:rPr>
      </w:pPr>
      <w:bookmarkStart w:id="57" w:name="_Toc446831639"/>
      <w:r w:rsidRPr="00B80AAA">
        <w:rPr>
          <w:rFonts w:ascii="Times New Roman" w:hAnsi="Times New Roman" w:cs="Times New Roman"/>
          <w:i/>
          <w:color w:val="000000" w:themeColor="text1"/>
        </w:rPr>
        <w:t>3.4.1. Article 5- Violation of the Pichicha people’s Right to Humane Treatment</w:t>
      </w:r>
      <w:bookmarkEnd w:id="53"/>
      <w:bookmarkEnd w:id="54"/>
      <w:bookmarkEnd w:id="55"/>
      <w:bookmarkEnd w:id="56"/>
      <w:bookmarkEnd w:id="57"/>
    </w:p>
    <w:p w:rsidR="00BB534A" w:rsidRPr="00B80AAA" w:rsidRDefault="000E1BAB" w:rsidP="00B80AAA">
      <w:pPr>
        <w:spacing w:line="480" w:lineRule="auto"/>
        <w:jc w:val="both"/>
        <w:rPr>
          <w:color w:val="000000" w:themeColor="text1"/>
        </w:rPr>
      </w:pPr>
      <w:r w:rsidRPr="00B80AAA">
        <w:rPr>
          <w:color w:val="000000" w:themeColor="text1"/>
        </w:rPr>
        <w:t>Article 5(1)</w:t>
      </w:r>
      <w:r w:rsidR="00BB534A" w:rsidRPr="00B80AAA">
        <w:rPr>
          <w:color w:val="000000" w:themeColor="text1"/>
        </w:rPr>
        <w:t xml:space="preserve"> of the </w:t>
      </w:r>
      <w:r w:rsidR="00BB534A" w:rsidRPr="00B80AAA">
        <w:rPr>
          <w:i/>
          <w:color w:val="000000" w:themeColor="text1"/>
        </w:rPr>
        <w:t>Convention</w:t>
      </w:r>
      <w:r w:rsidR="00BB534A" w:rsidRPr="00B80AAA">
        <w:rPr>
          <w:i/>
          <w:color w:val="000000" w:themeColor="text1"/>
          <w:vertAlign w:val="superscript"/>
        </w:rPr>
        <w:footnoteReference w:id="161"/>
      </w:r>
      <w:r w:rsidR="00BB534A" w:rsidRPr="00B80AAA">
        <w:rPr>
          <w:color w:val="000000" w:themeColor="text1"/>
        </w:rPr>
        <w:t xml:space="preserve"> states that every individual has a right to have his physical, mental and moral integrity respected.</w:t>
      </w:r>
      <w:r w:rsidR="00BB534A" w:rsidRPr="00B80AAA">
        <w:rPr>
          <w:color w:val="000000" w:themeColor="text1"/>
          <w:vertAlign w:val="superscript"/>
        </w:rPr>
        <w:footnoteReference w:id="162"/>
      </w:r>
      <w:r w:rsidR="00BB534A" w:rsidRPr="00B80AAA">
        <w:rPr>
          <w:color w:val="000000" w:themeColor="text1"/>
        </w:rPr>
        <w:t xml:space="preserve"> Indigenous people have rights to protection, maintenance and development of their culture and religion.</w:t>
      </w:r>
      <w:r w:rsidR="00BB534A" w:rsidRPr="00B80AAA">
        <w:rPr>
          <w:color w:val="000000" w:themeColor="text1"/>
          <w:vertAlign w:val="superscript"/>
        </w:rPr>
        <w:footnoteReference w:id="163"/>
      </w:r>
      <w:r w:rsidR="003B4FAF" w:rsidRPr="00B80AAA">
        <w:rPr>
          <w:color w:val="000000" w:themeColor="text1"/>
        </w:rPr>
        <w:t xml:space="preserve"> </w:t>
      </w:r>
      <w:r w:rsidR="00BB534A" w:rsidRPr="00B80AAA">
        <w:rPr>
          <w:color w:val="000000" w:themeColor="text1"/>
        </w:rPr>
        <w:t xml:space="preserve">These rights are enshrined in the </w:t>
      </w:r>
      <w:r w:rsidR="00BB534A" w:rsidRPr="00B80AAA">
        <w:rPr>
          <w:i/>
          <w:color w:val="000000" w:themeColor="text1"/>
        </w:rPr>
        <w:t>UN Declaration on the Rights of Indigenous People</w:t>
      </w:r>
      <w:r w:rsidR="00BB534A" w:rsidRPr="00B80AAA">
        <w:rPr>
          <w:color w:val="000000" w:themeColor="text1"/>
        </w:rPr>
        <w:t>, which the State of Santa Clara has signed.</w:t>
      </w:r>
      <w:r w:rsidR="00BB534A" w:rsidRPr="00B80AAA">
        <w:rPr>
          <w:color w:val="000000" w:themeColor="text1"/>
          <w:vertAlign w:val="superscript"/>
        </w:rPr>
        <w:footnoteReference w:id="164"/>
      </w:r>
      <w:r w:rsidR="00BB534A" w:rsidRPr="00B80AAA">
        <w:rPr>
          <w:color w:val="000000" w:themeColor="text1"/>
        </w:rPr>
        <w:t xml:space="preserve"> The fact that they signed on to the declaration requires their adherence to it based on the </w:t>
      </w:r>
      <w:r w:rsidR="00BB534A" w:rsidRPr="00B80AAA">
        <w:rPr>
          <w:i/>
          <w:color w:val="000000" w:themeColor="text1"/>
        </w:rPr>
        <w:t>pacta sunt servanda</w:t>
      </w:r>
      <w:r w:rsidR="00BB534A" w:rsidRPr="00B80AAA">
        <w:rPr>
          <w:color w:val="000000" w:themeColor="text1"/>
        </w:rPr>
        <w:t xml:space="preserve"> principle found in the </w:t>
      </w:r>
      <w:r w:rsidR="00BB534A" w:rsidRPr="00B80AAA">
        <w:rPr>
          <w:i/>
          <w:color w:val="000000" w:themeColor="text1"/>
        </w:rPr>
        <w:t>VCLT</w:t>
      </w:r>
      <w:r w:rsidR="00BB534A" w:rsidRPr="00B80AAA">
        <w:rPr>
          <w:color w:val="000000" w:themeColor="text1"/>
        </w:rPr>
        <w:t>.</w:t>
      </w:r>
      <w:r w:rsidR="00BB534A" w:rsidRPr="00B80AAA">
        <w:rPr>
          <w:color w:val="000000" w:themeColor="text1"/>
          <w:vertAlign w:val="superscript"/>
        </w:rPr>
        <w:footnoteReference w:id="165"/>
      </w:r>
      <w:r w:rsidR="00BB534A" w:rsidRPr="00B80AAA">
        <w:rPr>
          <w:color w:val="000000" w:themeColor="text1"/>
        </w:rPr>
        <w:t xml:space="preserve"> In the case of </w:t>
      </w:r>
      <w:r w:rsidR="00BB534A" w:rsidRPr="00B80AAA">
        <w:rPr>
          <w:i/>
          <w:color w:val="000000" w:themeColor="text1"/>
        </w:rPr>
        <w:t xml:space="preserve">Xákmok Kásek Indigenous </w:t>
      </w:r>
      <w:r w:rsidR="00BB534A" w:rsidRPr="00B80AAA">
        <w:rPr>
          <w:i/>
          <w:color w:val="000000" w:themeColor="text1"/>
        </w:rPr>
        <w:lastRenderedPageBreak/>
        <w:t>Community v</w:t>
      </w:r>
      <w:r w:rsidR="00A75207" w:rsidRPr="00B80AAA">
        <w:rPr>
          <w:i/>
          <w:color w:val="000000" w:themeColor="text1"/>
        </w:rPr>
        <w:t>.</w:t>
      </w:r>
      <w:r w:rsidR="00BB534A" w:rsidRPr="00B80AAA">
        <w:rPr>
          <w:i/>
          <w:color w:val="000000" w:themeColor="text1"/>
        </w:rPr>
        <w:t xml:space="preserve"> Paraguay</w:t>
      </w:r>
      <w:r w:rsidR="00BB534A" w:rsidRPr="00B80AAA">
        <w:rPr>
          <w:color w:val="000000" w:themeColor="text1"/>
        </w:rPr>
        <w:t>, the Court held that the failed restoration of ancestral lands, gradual loss of culture, ineffective administrative procedure, wretched living conditions, and the situation of abandonment created by the State</w:t>
      </w:r>
      <w:r w:rsidR="00576788" w:rsidRPr="00B80AAA">
        <w:rPr>
          <w:color w:val="000000" w:themeColor="text1"/>
        </w:rPr>
        <w:t xml:space="preserve"> of Paraguay violated Article 5(</w:t>
      </w:r>
      <w:r w:rsidR="00BB534A" w:rsidRPr="00B80AAA">
        <w:rPr>
          <w:color w:val="000000" w:themeColor="text1"/>
        </w:rPr>
        <w:t>1</w:t>
      </w:r>
      <w:r w:rsidR="00576788" w:rsidRPr="00B80AAA">
        <w:rPr>
          <w:color w:val="000000" w:themeColor="text1"/>
        </w:rPr>
        <w:t>)</w:t>
      </w:r>
      <w:r w:rsidR="00BB534A" w:rsidRPr="00B80AAA">
        <w:rPr>
          <w:color w:val="000000" w:themeColor="text1"/>
        </w:rPr>
        <w:t>.</w:t>
      </w:r>
      <w:r w:rsidR="00BB534A" w:rsidRPr="00B80AAA">
        <w:rPr>
          <w:color w:val="000000" w:themeColor="text1"/>
          <w:vertAlign w:val="superscript"/>
        </w:rPr>
        <w:footnoteReference w:id="166"/>
      </w:r>
      <w:r w:rsidR="00BB534A" w:rsidRPr="00B80AAA">
        <w:rPr>
          <w:color w:val="000000" w:themeColor="text1"/>
        </w:rPr>
        <w:t xml:space="preserve"> In the present case the environmental law principles of sustainable development</w:t>
      </w:r>
      <w:r w:rsidR="00BB534A" w:rsidRPr="00B80AAA">
        <w:rPr>
          <w:color w:val="000000" w:themeColor="text1"/>
          <w:vertAlign w:val="superscript"/>
        </w:rPr>
        <w:footnoteReference w:id="167"/>
      </w:r>
      <w:r w:rsidR="00BB534A" w:rsidRPr="00B80AAA">
        <w:rPr>
          <w:color w:val="000000" w:themeColor="text1"/>
        </w:rPr>
        <w:t xml:space="preserve"> and inter-generational and intra-generational equity</w:t>
      </w:r>
      <w:r w:rsidR="00BB534A" w:rsidRPr="00B80AAA">
        <w:rPr>
          <w:color w:val="000000" w:themeColor="text1"/>
          <w:vertAlign w:val="superscript"/>
        </w:rPr>
        <w:footnoteReference w:id="168"/>
      </w:r>
      <w:r w:rsidR="00BB534A" w:rsidRPr="00B80AAA">
        <w:rPr>
          <w:color w:val="000000" w:themeColor="text1"/>
        </w:rPr>
        <w:t xml:space="preserve"> are most prominent. The authorities of Santa Clara agreed to the conditions imposed by the indigenous group, in particular, the prohibition of the entry of mining company employees into the area surrounding the Mandí Stream, which is used as a religious site by Pichicha priests.</w:t>
      </w:r>
      <w:r w:rsidR="00BB534A" w:rsidRPr="00B80AAA">
        <w:rPr>
          <w:color w:val="000000" w:themeColor="text1"/>
          <w:vertAlign w:val="superscript"/>
        </w:rPr>
        <w:footnoteReference w:id="169"/>
      </w:r>
      <w:r w:rsidR="00BB534A" w:rsidRPr="00B80AAA">
        <w:rPr>
          <w:color w:val="000000" w:themeColor="text1"/>
        </w:rPr>
        <w:t xml:space="preserve"> After the rupture of a small containment dam and the contamination of the Pampulla Lagoon, the Mandí Stream was used for the provisional collection of water, against the agreed upon conditions.</w:t>
      </w:r>
      <w:r w:rsidR="00BB534A" w:rsidRPr="00B80AAA">
        <w:rPr>
          <w:color w:val="000000" w:themeColor="text1"/>
          <w:vertAlign w:val="superscript"/>
        </w:rPr>
        <w:footnoteReference w:id="170"/>
      </w:r>
      <w:r w:rsidR="00BB534A" w:rsidRPr="00B80AAA">
        <w:rPr>
          <w:color w:val="000000" w:themeColor="text1"/>
        </w:rPr>
        <w:t xml:space="preserve"> As can be seen by the agreement between the Pichicha People and Silverfield SA, the concern was not the Mandí Stream but the religious sites surrounding it.</w:t>
      </w:r>
      <w:r w:rsidR="00BB534A" w:rsidRPr="00B80AAA">
        <w:rPr>
          <w:color w:val="000000" w:themeColor="text1"/>
          <w:vertAlign w:val="superscript"/>
        </w:rPr>
        <w:footnoteReference w:id="171"/>
      </w:r>
      <w:r w:rsidR="00BB534A" w:rsidRPr="00B80AAA">
        <w:rPr>
          <w:color w:val="000000" w:themeColor="text1"/>
        </w:rPr>
        <w:t xml:space="preserve"> There was therefore</w:t>
      </w:r>
      <w:r w:rsidR="007C177E" w:rsidRPr="00B80AAA">
        <w:rPr>
          <w:color w:val="000000" w:themeColor="text1"/>
        </w:rPr>
        <w:t xml:space="preserve"> a grave violation of Article 5(</w:t>
      </w:r>
      <w:r w:rsidR="00BB534A" w:rsidRPr="00B80AAA">
        <w:rPr>
          <w:color w:val="000000" w:themeColor="text1"/>
        </w:rPr>
        <w:t>1</w:t>
      </w:r>
      <w:r w:rsidR="007C177E" w:rsidRPr="00B80AAA">
        <w:rPr>
          <w:color w:val="000000" w:themeColor="text1"/>
        </w:rPr>
        <w:t>)</w:t>
      </w:r>
      <w:r w:rsidR="00BB534A" w:rsidRPr="00B80AAA">
        <w:rPr>
          <w:color w:val="000000" w:themeColor="text1"/>
        </w:rPr>
        <w:t xml:space="preserve"> as irreparable harm was caused to these religious sites and the breach of this agreement by Santa Clara directly violated the Pichicha people’s rights to humane treatment, of which human dignity is integral.</w:t>
      </w:r>
      <w:r w:rsidR="00BB534A" w:rsidRPr="00B80AAA">
        <w:rPr>
          <w:color w:val="000000" w:themeColor="text1"/>
          <w:vertAlign w:val="superscript"/>
        </w:rPr>
        <w:footnoteReference w:id="172"/>
      </w:r>
    </w:p>
    <w:p w:rsidR="00BB534A" w:rsidRPr="00B80AAA" w:rsidRDefault="00BB534A" w:rsidP="00B80AAA">
      <w:pPr>
        <w:spacing w:line="480" w:lineRule="auto"/>
        <w:jc w:val="both"/>
        <w:rPr>
          <w:color w:val="000000" w:themeColor="text1"/>
        </w:rPr>
      </w:pPr>
      <w:r w:rsidRPr="00B80AAA">
        <w:rPr>
          <w:color w:val="000000" w:themeColor="text1"/>
        </w:rPr>
        <w:t xml:space="preserve">The irreparable harm caused to the religious sites near the Mandí Stream, together with the contamination of the Pampulla Lagoon amount to gross violations of Santa Clara’s obligations under international environmental law concerning the principles of sustainable development and inter-generational and intra-generational equity. </w:t>
      </w:r>
    </w:p>
    <w:p w:rsidR="00BB534A" w:rsidRPr="00B80AAA" w:rsidRDefault="00BB534A" w:rsidP="00B80AAA">
      <w:pPr>
        <w:keepNext/>
        <w:keepLines/>
        <w:spacing w:before="200" w:after="0" w:line="480" w:lineRule="auto"/>
        <w:jc w:val="both"/>
        <w:outlineLvl w:val="2"/>
        <w:rPr>
          <w:rFonts w:eastAsiaTheme="majorEastAsia"/>
          <w:b/>
          <w:bCs/>
          <w:i/>
          <w:color w:val="000000" w:themeColor="text1"/>
        </w:rPr>
      </w:pPr>
      <w:bookmarkStart w:id="58" w:name="_Toc444210337"/>
      <w:bookmarkStart w:id="59" w:name="_Toc440048752"/>
      <w:bookmarkStart w:id="60" w:name="_Toc440366958"/>
      <w:bookmarkStart w:id="61" w:name="_Toc446831640"/>
      <w:r w:rsidRPr="00B80AAA">
        <w:rPr>
          <w:rFonts w:eastAsiaTheme="majorEastAsia"/>
          <w:b/>
          <w:bCs/>
          <w:i/>
          <w:color w:val="000000" w:themeColor="text1"/>
        </w:rPr>
        <w:lastRenderedPageBreak/>
        <w:t>3.4.2 Article 8-Violation of the Right to Fair Trial in respect of the Pichicha people</w:t>
      </w:r>
      <w:bookmarkEnd w:id="58"/>
      <w:bookmarkEnd w:id="59"/>
      <w:bookmarkEnd w:id="60"/>
      <w:bookmarkEnd w:id="61"/>
    </w:p>
    <w:p w:rsidR="00BB534A" w:rsidRPr="00B80AAA" w:rsidRDefault="00BB534A" w:rsidP="00B80AAA">
      <w:pPr>
        <w:spacing w:line="480" w:lineRule="auto"/>
        <w:jc w:val="both"/>
        <w:rPr>
          <w:color w:val="000000" w:themeColor="text1"/>
        </w:rPr>
      </w:pPr>
      <w:r w:rsidRPr="00B80AAA">
        <w:rPr>
          <w:color w:val="000000" w:themeColor="text1"/>
        </w:rPr>
        <w:t xml:space="preserve">In the case of </w:t>
      </w:r>
      <w:r w:rsidRPr="00B80AAA">
        <w:rPr>
          <w:i/>
          <w:color w:val="000000" w:themeColor="text1"/>
        </w:rPr>
        <w:t>Maria Da Penha v</w:t>
      </w:r>
      <w:r w:rsidR="006E1F78" w:rsidRPr="00B80AAA">
        <w:rPr>
          <w:i/>
          <w:color w:val="000000" w:themeColor="text1"/>
        </w:rPr>
        <w:t>.</w:t>
      </w:r>
      <w:r w:rsidRPr="00B80AAA">
        <w:rPr>
          <w:i/>
          <w:color w:val="000000" w:themeColor="text1"/>
        </w:rPr>
        <w:t xml:space="preserve"> Brasil</w:t>
      </w:r>
      <w:r w:rsidRPr="00B80AAA">
        <w:rPr>
          <w:color w:val="000000" w:themeColor="text1"/>
        </w:rPr>
        <w:t>, the Court highlighted that this right is extended to the victim as well as the accused, which means that both may invoke a violation of it under the proper circumstances.</w:t>
      </w:r>
      <w:r w:rsidRPr="00B80AAA">
        <w:rPr>
          <w:color w:val="000000" w:themeColor="text1"/>
          <w:vertAlign w:val="superscript"/>
        </w:rPr>
        <w:footnoteReference w:id="173"/>
      </w:r>
      <w:r w:rsidRPr="00B80AAA">
        <w:rPr>
          <w:color w:val="000000" w:themeColor="text1"/>
        </w:rPr>
        <w:t xml:space="preserve"> In an Advisory Opinion of the Court it was noted that the amparo is a simple and prompt remedy designated for the protection of all rights recognised.</w:t>
      </w:r>
      <w:r w:rsidRPr="00B80AAA">
        <w:rPr>
          <w:color w:val="000000" w:themeColor="text1"/>
          <w:vertAlign w:val="superscript"/>
        </w:rPr>
        <w:footnoteReference w:id="174"/>
      </w:r>
      <w:r w:rsidRPr="00B80AAA">
        <w:rPr>
          <w:color w:val="000000" w:themeColor="text1"/>
        </w:rPr>
        <w:t xml:space="preserve"> This right is more concerned with the procedural nature of laws. A writ of amparo was filed on behalf of the Pichicha people after the breach of the government agreement concerning the Mandí Stream. It must be noted that the Latin-American amparo is not merely a writ or judicial protective order, but a whole judicial proceeding.</w:t>
      </w:r>
      <w:r w:rsidRPr="00B80AAA">
        <w:rPr>
          <w:color w:val="000000" w:themeColor="text1"/>
          <w:vertAlign w:val="superscript"/>
        </w:rPr>
        <w:footnoteReference w:id="175"/>
      </w:r>
      <w:r w:rsidRPr="00B80AAA">
        <w:rPr>
          <w:color w:val="000000" w:themeColor="text1"/>
        </w:rPr>
        <w:t xml:space="preserve"> This writ is aimed at the effective protection of constitutional rights violated, regardless of whether the person who produced such a violation is a public or private authority.</w:t>
      </w:r>
      <w:r w:rsidRPr="00B80AAA">
        <w:rPr>
          <w:color w:val="000000" w:themeColor="text1"/>
          <w:vertAlign w:val="superscript"/>
        </w:rPr>
        <w:footnoteReference w:id="176"/>
      </w:r>
      <w:r w:rsidRPr="00B80AAA">
        <w:rPr>
          <w:color w:val="000000" w:themeColor="text1"/>
        </w:rPr>
        <w:t xml:space="preserve"> Though the injunction was granted, it was lifted after the situation causing the issue came to an end and the amparo action shelved.</w:t>
      </w:r>
      <w:r w:rsidRPr="00B80AAA">
        <w:rPr>
          <w:color w:val="000000" w:themeColor="text1"/>
          <w:vertAlign w:val="superscript"/>
        </w:rPr>
        <w:footnoteReference w:id="177"/>
      </w:r>
      <w:r w:rsidRPr="00B80AAA">
        <w:rPr>
          <w:color w:val="000000" w:themeColor="text1"/>
        </w:rPr>
        <w:t xml:space="preserve"> The entire proceeding</w:t>
      </w:r>
      <w:r w:rsidR="003B4FAF" w:rsidRPr="00B80AAA">
        <w:rPr>
          <w:color w:val="000000" w:themeColor="text1"/>
        </w:rPr>
        <w:t xml:space="preserve"> ought to have been processed</w:t>
      </w:r>
      <w:r w:rsidRPr="00B80AAA">
        <w:rPr>
          <w:color w:val="000000" w:themeColor="text1"/>
        </w:rPr>
        <w:t xml:space="preserve"> based on a writ of amparo being a full judicial proceeding and not merely a protective order. When this decision was appealed, the Supreme Court held that an amparo claim served the sole purpose of restoring a fundamental right and was not a suitable mechanism for asserting compensatory claims, thus deeming the appeal inadmissible.</w:t>
      </w:r>
      <w:r w:rsidRPr="00B80AAA">
        <w:rPr>
          <w:color w:val="000000" w:themeColor="text1"/>
          <w:vertAlign w:val="superscript"/>
        </w:rPr>
        <w:footnoteReference w:id="178"/>
      </w:r>
      <w:r w:rsidRPr="00B80AAA">
        <w:rPr>
          <w:color w:val="000000" w:themeColor="text1"/>
        </w:rPr>
        <w:t xml:space="preserve"> The fact that Santa Clara did not fully process the amparo proceeding, and the unjust dismissal of the subsequent appeal, amount to a breach of the right to a fair hearing by Santa Clara.</w:t>
      </w:r>
    </w:p>
    <w:p w:rsidR="00BB534A" w:rsidRPr="00B80AAA" w:rsidRDefault="00BB534A" w:rsidP="00B80AAA">
      <w:pPr>
        <w:keepNext/>
        <w:keepLines/>
        <w:spacing w:before="200" w:after="0" w:line="480" w:lineRule="auto"/>
        <w:jc w:val="both"/>
        <w:outlineLvl w:val="2"/>
        <w:rPr>
          <w:rFonts w:eastAsiaTheme="majorEastAsia"/>
          <w:b/>
          <w:bCs/>
          <w:i/>
          <w:color w:val="000000" w:themeColor="text1"/>
        </w:rPr>
      </w:pPr>
      <w:bookmarkStart w:id="62" w:name="_Toc444210338"/>
      <w:bookmarkStart w:id="63" w:name="_Toc440048753"/>
      <w:bookmarkStart w:id="64" w:name="_Toc440366959"/>
      <w:bookmarkStart w:id="65" w:name="_Toc446831641"/>
      <w:r w:rsidRPr="00B80AAA">
        <w:rPr>
          <w:rFonts w:eastAsiaTheme="majorEastAsia"/>
          <w:b/>
          <w:bCs/>
          <w:i/>
          <w:color w:val="000000" w:themeColor="text1"/>
        </w:rPr>
        <w:lastRenderedPageBreak/>
        <w:t>3.4.3 Article 21-Violation the Right to Property in respect of the Pichicha people</w:t>
      </w:r>
      <w:bookmarkEnd w:id="62"/>
      <w:bookmarkEnd w:id="63"/>
      <w:bookmarkEnd w:id="64"/>
      <w:bookmarkEnd w:id="65"/>
    </w:p>
    <w:p w:rsidR="00BB534A" w:rsidRPr="00B80AAA" w:rsidRDefault="00BB534A" w:rsidP="00B80AAA">
      <w:pPr>
        <w:spacing w:line="480" w:lineRule="auto"/>
        <w:jc w:val="both"/>
        <w:rPr>
          <w:color w:val="000000" w:themeColor="text1"/>
        </w:rPr>
      </w:pPr>
      <w:r w:rsidRPr="00B80AAA">
        <w:rPr>
          <w:color w:val="000000" w:themeColor="text1"/>
        </w:rPr>
        <w:t xml:space="preserve">This right to property, as enshrined in the </w:t>
      </w:r>
      <w:r w:rsidRPr="00B80AAA">
        <w:rPr>
          <w:i/>
          <w:color w:val="000000" w:themeColor="text1"/>
        </w:rPr>
        <w:t>Convention</w:t>
      </w:r>
      <w:r w:rsidRPr="00B80AAA">
        <w:rPr>
          <w:color w:val="000000" w:themeColor="text1"/>
        </w:rPr>
        <w:t xml:space="preserve">, speaks to the right to enjoy and use property. It must first be noted that the </w:t>
      </w:r>
      <w:r w:rsidRPr="00B80AAA">
        <w:rPr>
          <w:i/>
          <w:color w:val="000000" w:themeColor="text1"/>
        </w:rPr>
        <w:t>Mayagna (Sumo) Awas Tingni Community</w:t>
      </w:r>
      <w:r w:rsidRPr="00B80AAA">
        <w:rPr>
          <w:color w:val="000000" w:themeColor="text1"/>
        </w:rPr>
        <w:t xml:space="preserve"> case showed that indigenous people enjoy communal property rights.</w:t>
      </w:r>
      <w:r w:rsidRPr="00B80AAA">
        <w:rPr>
          <w:color w:val="000000" w:themeColor="text1"/>
          <w:vertAlign w:val="superscript"/>
        </w:rPr>
        <w:footnoteReference w:id="179"/>
      </w:r>
      <w:r w:rsidRPr="00B80AAA">
        <w:rPr>
          <w:color w:val="000000" w:themeColor="text1"/>
        </w:rPr>
        <w:t xml:space="preserve"> It was through using </w:t>
      </w:r>
      <w:r w:rsidRPr="00B80AAA">
        <w:rPr>
          <w:color w:val="000000" w:themeColor="text1"/>
          <w:lang w:val="en-GB"/>
        </w:rPr>
        <w:t>an evolutionary interpretation that the Court found that property rights include the rights of members of the indigenous communities within the framework of communal property.</w:t>
      </w:r>
      <w:r w:rsidRPr="00B80AAA">
        <w:rPr>
          <w:color w:val="000000" w:themeColor="text1"/>
          <w:vertAlign w:val="superscript"/>
          <w:lang w:val="en-GB"/>
        </w:rPr>
        <w:footnoteReference w:id="180"/>
      </w:r>
      <w:r w:rsidRPr="00B80AAA">
        <w:rPr>
          <w:color w:val="000000" w:themeColor="text1"/>
          <w:lang w:val="en-GB"/>
        </w:rPr>
        <w:t xml:space="preserve"> </w:t>
      </w:r>
      <w:r w:rsidRPr="00B80AAA">
        <w:rPr>
          <w:color w:val="000000" w:themeColor="text1"/>
        </w:rPr>
        <w:t>The Mandí Stream, a religious site of the Pichicha people was ordered by the FWA to be used for the provisional collection of water, and this was deemed as a warranted measure due to the fact that it was an emergency situation.</w:t>
      </w:r>
      <w:r w:rsidRPr="00B80AAA">
        <w:rPr>
          <w:color w:val="000000" w:themeColor="text1"/>
          <w:vertAlign w:val="superscript"/>
        </w:rPr>
        <w:footnoteReference w:id="181"/>
      </w:r>
      <w:r w:rsidRPr="00B80AAA">
        <w:rPr>
          <w:color w:val="000000" w:themeColor="text1"/>
        </w:rPr>
        <w:t xml:space="preserve"> However, it is settled in </w:t>
      </w:r>
      <w:r w:rsidRPr="00B80AAA">
        <w:rPr>
          <w:i/>
          <w:color w:val="000000" w:themeColor="text1"/>
        </w:rPr>
        <w:t>Convention 169</w:t>
      </w:r>
      <w:r w:rsidRPr="00B80AAA">
        <w:rPr>
          <w:color w:val="000000" w:themeColor="text1"/>
        </w:rPr>
        <w:t xml:space="preserve"> of the ILO that </w:t>
      </w:r>
      <w:r w:rsidRPr="00B80AAA">
        <w:rPr>
          <w:color w:val="000000" w:themeColor="text1"/>
          <w:lang w:val="en-GB"/>
        </w:rPr>
        <w:t>governments shall consult indigenous or tribal peoples whenever they are considering legislative or administrative measures that may affect them.</w:t>
      </w:r>
      <w:r w:rsidRPr="00B80AAA">
        <w:rPr>
          <w:color w:val="000000" w:themeColor="text1"/>
          <w:vertAlign w:val="superscript"/>
          <w:lang w:val="en-GB"/>
        </w:rPr>
        <w:footnoteReference w:id="182"/>
      </w:r>
      <w:r w:rsidRPr="00B80AAA">
        <w:rPr>
          <w:color w:val="000000" w:themeColor="text1"/>
          <w:lang w:val="en-GB"/>
        </w:rPr>
        <w:t xml:space="preserve"> It also states that consultations must be conducted “in good faith and in a form appropriate to the circumstances, with the objective of achieving agreement or consent to the proposed measures”.</w:t>
      </w:r>
      <w:r w:rsidRPr="00B80AAA">
        <w:rPr>
          <w:color w:val="000000" w:themeColor="text1"/>
          <w:vertAlign w:val="superscript"/>
          <w:lang w:val="en-GB"/>
        </w:rPr>
        <w:footnoteReference w:id="183"/>
      </w:r>
      <w:r w:rsidRPr="00B80AAA">
        <w:rPr>
          <w:color w:val="000000" w:themeColor="text1"/>
          <w:lang w:val="en-GB"/>
        </w:rPr>
        <w:t xml:space="preserve"> </w:t>
      </w:r>
      <w:r w:rsidRPr="00B80AAA">
        <w:rPr>
          <w:iCs/>
          <w:color w:val="000000" w:themeColor="text1"/>
        </w:rPr>
        <w:t xml:space="preserve">In the case of the </w:t>
      </w:r>
      <w:r w:rsidRPr="00B80AAA">
        <w:rPr>
          <w:i/>
          <w:iCs/>
          <w:color w:val="000000" w:themeColor="text1"/>
        </w:rPr>
        <w:t>Saramaka People v</w:t>
      </w:r>
      <w:r w:rsidR="005E553E" w:rsidRPr="00B80AAA">
        <w:rPr>
          <w:i/>
          <w:iCs/>
          <w:color w:val="000000" w:themeColor="text1"/>
        </w:rPr>
        <w:t>.</w:t>
      </w:r>
      <w:r w:rsidRPr="00B80AAA">
        <w:rPr>
          <w:i/>
          <w:iCs/>
          <w:color w:val="000000" w:themeColor="text1"/>
        </w:rPr>
        <w:t xml:space="preserve"> Suriname</w:t>
      </w:r>
      <w:r w:rsidRPr="00B80AAA">
        <w:rPr>
          <w:iCs/>
          <w:color w:val="000000" w:themeColor="text1"/>
        </w:rPr>
        <w:t xml:space="preserve"> the Court established several criteria that are necessary for prior consultation to take place. It noted that effective participation of all members in the decision making process, the provision of some sort of benefit resulting from the plan and the need to perform a prior environmental and social impact assessment are all essential factors.</w:t>
      </w:r>
      <w:r w:rsidRPr="00B80AAA">
        <w:rPr>
          <w:iCs/>
          <w:color w:val="000000" w:themeColor="text1"/>
          <w:vertAlign w:val="superscript"/>
        </w:rPr>
        <w:footnoteReference w:id="184"/>
      </w:r>
      <w:r w:rsidRPr="00B80AAA">
        <w:rPr>
          <w:iCs/>
          <w:color w:val="000000" w:themeColor="text1"/>
        </w:rPr>
        <w:t xml:space="preserve"> </w:t>
      </w:r>
      <w:r w:rsidRPr="00B80AAA">
        <w:rPr>
          <w:color w:val="000000" w:themeColor="text1"/>
        </w:rPr>
        <w:t xml:space="preserve">Santa Clara has ratified </w:t>
      </w:r>
      <w:r w:rsidRPr="00B80AAA">
        <w:rPr>
          <w:i/>
          <w:color w:val="000000" w:themeColor="text1"/>
        </w:rPr>
        <w:t>Convention 169</w:t>
      </w:r>
      <w:r w:rsidRPr="00B80AAA">
        <w:rPr>
          <w:color w:val="000000" w:themeColor="text1"/>
        </w:rPr>
        <w:t xml:space="preserve"> of the ILO and although they would have effectively consulted the Pichicha peoples prior to the commencing of the Wirikuya project, they did not consult them before the </w:t>
      </w:r>
      <w:r w:rsidRPr="00B80AAA">
        <w:rPr>
          <w:color w:val="000000" w:themeColor="text1"/>
        </w:rPr>
        <w:lastRenderedPageBreak/>
        <w:t xml:space="preserve">FWA decided to forcibly acquire the Mandí Stream for the purpose of water collection. They therefore violated their obligations to ILO 169 and could not have fallen under the limits put forward in the </w:t>
      </w:r>
      <w:r w:rsidRPr="00B80AAA">
        <w:rPr>
          <w:i/>
          <w:color w:val="000000" w:themeColor="text1"/>
        </w:rPr>
        <w:t xml:space="preserve">Convention. </w:t>
      </w:r>
      <w:r w:rsidRPr="00B80AAA">
        <w:rPr>
          <w:color w:val="000000" w:themeColor="text1"/>
        </w:rPr>
        <w:t xml:space="preserve">It is recognised that </w:t>
      </w:r>
      <w:r w:rsidR="00C53001" w:rsidRPr="00B80AAA">
        <w:rPr>
          <w:color w:val="000000" w:themeColor="text1"/>
        </w:rPr>
        <w:t xml:space="preserve">it was necessary to balance the need for </w:t>
      </w:r>
      <w:r w:rsidRPr="00B80AAA">
        <w:rPr>
          <w:color w:val="000000" w:themeColor="text1"/>
        </w:rPr>
        <w:t xml:space="preserve">water, together with the rights of the indigenous people. </w:t>
      </w:r>
      <w:r w:rsidR="00C53001" w:rsidRPr="00B80AAA">
        <w:rPr>
          <w:color w:val="000000" w:themeColor="text1"/>
        </w:rPr>
        <w:t xml:space="preserve">However there was no such balancing act conducted by the State of Santa Clara. </w:t>
      </w:r>
      <w:r w:rsidR="00C15BE3" w:rsidRPr="00B80AAA">
        <w:rPr>
          <w:color w:val="000000" w:themeColor="text1"/>
        </w:rPr>
        <w:t xml:space="preserve">Thus it is </w:t>
      </w:r>
      <w:r w:rsidRPr="00B80AAA">
        <w:rPr>
          <w:color w:val="000000" w:themeColor="text1"/>
        </w:rPr>
        <w:t>posited that had consultation been properly done, the access would have been granted to the Mandí Stream in such a way so as to prevent the irreparable harm being done to the religious sites. Thus the lack of consultation led to the violation of property rights which in turn led to irreparable harm to the religious sites. Santa Clara stated that the restriction of property rights was warranted based on the emergency that was at hand.</w:t>
      </w:r>
      <w:r w:rsidRPr="00B80AAA">
        <w:rPr>
          <w:color w:val="000000" w:themeColor="text1"/>
          <w:vertAlign w:val="superscript"/>
        </w:rPr>
        <w:footnoteReference w:id="185"/>
      </w:r>
      <w:r w:rsidRPr="00B80AAA">
        <w:rPr>
          <w:color w:val="000000" w:themeColor="text1"/>
        </w:rPr>
        <w:t xml:space="preserve"> This may appear to be an attempt to invoke the principle of necessity by the authorities of Santa Clara. According to Article 25 of the </w:t>
      </w:r>
      <w:r w:rsidRPr="00B80AAA">
        <w:rPr>
          <w:i/>
          <w:color w:val="000000" w:themeColor="text1"/>
        </w:rPr>
        <w:t>ILC</w:t>
      </w:r>
      <w:r w:rsidR="00BD4939" w:rsidRPr="00B80AAA">
        <w:rPr>
          <w:i/>
          <w:color w:val="000000" w:themeColor="text1"/>
        </w:rPr>
        <w:t xml:space="preserve"> Draft Articles</w:t>
      </w:r>
      <w:r w:rsidRPr="00B80AAA">
        <w:rPr>
          <w:color w:val="000000" w:themeColor="text1"/>
        </w:rPr>
        <w:t>,</w:t>
      </w:r>
      <w:r w:rsidR="00F446F2" w:rsidRPr="00B80AAA">
        <w:rPr>
          <w:rStyle w:val="FootnoteReference"/>
          <w:color w:val="000000" w:themeColor="text1"/>
        </w:rPr>
        <w:footnoteReference w:id="186"/>
      </w:r>
      <w:r w:rsidRPr="00B80AAA">
        <w:rPr>
          <w:color w:val="000000" w:themeColor="text1"/>
        </w:rPr>
        <w:t xml:space="preserve"> the first necessary element for a State to invoke necessity is where its action is the only way for the State to safeguard an essential interest against a grave and imminent peril.</w:t>
      </w:r>
      <w:r w:rsidRPr="00B80AAA">
        <w:rPr>
          <w:color w:val="000000" w:themeColor="text1"/>
          <w:vertAlign w:val="superscript"/>
        </w:rPr>
        <w:footnoteReference w:id="187"/>
      </w:r>
      <w:r w:rsidRPr="00B80AAA">
        <w:rPr>
          <w:color w:val="000000" w:themeColor="text1"/>
        </w:rPr>
        <w:t xml:space="preserve"> Article 29 of the </w:t>
      </w:r>
      <w:r w:rsidRPr="00B80AAA">
        <w:rPr>
          <w:i/>
          <w:color w:val="000000" w:themeColor="text1"/>
        </w:rPr>
        <w:t>Convention</w:t>
      </w:r>
      <w:r w:rsidRPr="00B80AAA">
        <w:rPr>
          <w:color w:val="000000" w:themeColor="text1"/>
        </w:rPr>
        <w:t xml:space="preserve"> enables the use of sources of law outside of the Inter-American System and on that note it is helpful to draw on the ICJ decision in the case concerning the </w:t>
      </w:r>
      <w:r w:rsidRPr="00B80AAA">
        <w:rPr>
          <w:i/>
          <w:color w:val="000000" w:themeColor="text1"/>
        </w:rPr>
        <w:t>Gabcikovo-Nagymaros</w:t>
      </w:r>
      <w:r w:rsidRPr="00B80AAA">
        <w:rPr>
          <w:color w:val="000000" w:themeColor="text1"/>
        </w:rPr>
        <w:t xml:space="preserve"> project. In this case Hungary sought to rely on the principle of necessity due to the possibility of ecological harm, in order to relieve itself of its contractual obligations to Slovakia.</w:t>
      </w:r>
      <w:r w:rsidRPr="00B80AAA">
        <w:rPr>
          <w:color w:val="000000" w:themeColor="text1"/>
          <w:vertAlign w:val="superscript"/>
        </w:rPr>
        <w:footnoteReference w:id="188"/>
      </w:r>
      <w:r w:rsidRPr="00B80AAA">
        <w:rPr>
          <w:color w:val="000000" w:themeColor="text1"/>
        </w:rPr>
        <w:t xml:space="preserve"> The ICJ held that although the ecological threats were serious, they could not alone establish the objective existence of a peril, much less a peril which was grave and imminent.</w:t>
      </w:r>
      <w:r w:rsidRPr="00B80AAA">
        <w:rPr>
          <w:color w:val="000000" w:themeColor="text1"/>
          <w:vertAlign w:val="superscript"/>
        </w:rPr>
        <w:footnoteReference w:id="189"/>
      </w:r>
      <w:r w:rsidRPr="00B80AAA">
        <w:rPr>
          <w:color w:val="000000" w:themeColor="text1"/>
        </w:rPr>
        <w:t xml:space="preserve"> On this first ground alone, the State of Santa Clara fails, as the Mandí Stream was one of several streams </w:t>
      </w:r>
      <w:r w:rsidRPr="00B80AAA">
        <w:rPr>
          <w:color w:val="000000" w:themeColor="text1"/>
        </w:rPr>
        <w:lastRenderedPageBreak/>
        <w:t>from which water would have been collected, indicating that it was not the only option.</w:t>
      </w:r>
      <w:r w:rsidRPr="00B80AAA">
        <w:rPr>
          <w:color w:val="000000" w:themeColor="text1"/>
          <w:vertAlign w:val="superscript"/>
        </w:rPr>
        <w:footnoteReference w:id="190"/>
      </w:r>
      <w:r w:rsidRPr="00B80AAA">
        <w:rPr>
          <w:color w:val="000000" w:themeColor="text1"/>
        </w:rPr>
        <w:t xml:space="preserve"> Additionally, the fact that other methods of collection would have been costly or difficult did not make them impossible, nor did it make the threat grave and imminent as in the </w:t>
      </w:r>
      <w:r w:rsidRPr="00B80AAA">
        <w:rPr>
          <w:i/>
          <w:color w:val="000000" w:themeColor="text1"/>
        </w:rPr>
        <w:t>Gabcikovo-Nagymaros</w:t>
      </w:r>
      <w:r w:rsidRPr="00B80AAA">
        <w:rPr>
          <w:color w:val="000000" w:themeColor="text1"/>
        </w:rPr>
        <w:t xml:space="preserve"> case and thus, necessity did not arise. Article 25 also goes on to say that necessity may not be invoked if the State </w:t>
      </w:r>
      <w:r w:rsidR="00F03AA7">
        <w:rPr>
          <w:color w:val="000000" w:themeColor="text1"/>
        </w:rPr>
        <w:t>has contributed to the situatio</w:t>
      </w:r>
      <w:r w:rsidR="001842BC">
        <w:rPr>
          <w:color w:val="000000" w:themeColor="text1"/>
        </w:rPr>
        <w:t>n</w:t>
      </w:r>
      <w:r w:rsidRPr="00B80AAA">
        <w:rPr>
          <w:color w:val="000000" w:themeColor="text1"/>
        </w:rPr>
        <w:t xml:space="preserve"> of necessity.</w:t>
      </w:r>
      <w:r w:rsidRPr="00B80AAA">
        <w:rPr>
          <w:color w:val="000000" w:themeColor="text1"/>
          <w:vertAlign w:val="superscript"/>
        </w:rPr>
        <w:footnoteReference w:id="191"/>
      </w:r>
      <w:r w:rsidRPr="00B80AAA">
        <w:rPr>
          <w:color w:val="000000" w:themeColor="text1"/>
        </w:rPr>
        <w:t xml:space="preserve"> The situation was created by work being done on the Wirikuya Project,</w:t>
      </w:r>
      <w:r w:rsidRPr="00B80AAA">
        <w:rPr>
          <w:color w:val="000000" w:themeColor="text1"/>
          <w:vertAlign w:val="superscript"/>
        </w:rPr>
        <w:footnoteReference w:id="192"/>
      </w:r>
      <w:r w:rsidRPr="00B80AAA">
        <w:rPr>
          <w:color w:val="000000" w:themeColor="text1"/>
        </w:rPr>
        <w:t xml:space="preserve"> therefore placing the State of Santa Clara as the responsible party. </w:t>
      </w:r>
      <w:bookmarkStart w:id="66" w:name="_Toc444210339"/>
      <w:bookmarkStart w:id="67" w:name="_Toc440048754"/>
      <w:bookmarkStart w:id="68" w:name="_Toc440366960"/>
    </w:p>
    <w:p w:rsidR="00BB534A" w:rsidRPr="00B80AAA" w:rsidRDefault="00BB534A" w:rsidP="00B80AAA">
      <w:pPr>
        <w:keepNext/>
        <w:keepLines/>
        <w:spacing w:before="200" w:after="0" w:line="480" w:lineRule="auto"/>
        <w:jc w:val="both"/>
        <w:outlineLvl w:val="2"/>
        <w:rPr>
          <w:rFonts w:eastAsiaTheme="majorEastAsia"/>
          <w:b/>
          <w:bCs/>
          <w:i/>
          <w:color w:val="000000" w:themeColor="text1"/>
        </w:rPr>
      </w:pPr>
      <w:bookmarkStart w:id="69" w:name="_Toc446831642"/>
      <w:r w:rsidRPr="00B80AAA">
        <w:rPr>
          <w:rFonts w:eastAsiaTheme="majorEastAsia"/>
          <w:b/>
          <w:bCs/>
          <w:i/>
          <w:color w:val="000000" w:themeColor="text1"/>
        </w:rPr>
        <w:t>3.4.4 Article 25-Violation of the Right to Judicial Protection in respect of the Pichicha people</w:t>
      </w:r>
      <w:bookmarkEnd w:id="66"/>
      <w:bookmarkEnd w:id="67"/>
      <w:bookmarkEnd w:id="68"/>
      <w:bookmarkEnd w:id="69"/>
    </w:p>
    <w:p w:rsidR="00BB534A" w:rsidRPr="00B80AAA" w:rsidRDefault="00BB534A" w:rsidP="00B80AAA">
      <w:pPr>
        <w:spacing w:line="480" w:lineRule="auto"/>
        <w:jc w:val="both"/>
        <w:rPr>
          <w:color w:val="000000" w:themeColor="text1"/>
        </w:rPr>
      </w:pPr>
      <w:r w:rsidRPr="00B80AAA">
        <w:rPr>
          <w:color w:val="000000" w:themeColor="text1"/>
        </w:rPr>
        <w:t>This right emphasises the fact that individuals have a right to prompt recourse for any issues, before a competent Court or tribunal.</w:t>
      </w:r>
      <w:r w:rsidRPr="00B80AAA">
        <w:rPr>
          <w:color w:val="000000" w:themeColor="text1"/>
          <w:vertAlign w:val="superscript"/>
        </w:rPr>
        <w:footnoteReference w:id="193"/>
      </w:r>
      <w:r w:rsidRPr="00B80AAA">
        <w:rPr>
          <w:color w:val="000000" w:themeColor="text1"/>
        </w:rPr>
        <w:t>Additionally it is typically infringed when there is a lack of due diligence by the State in some way.</w:t>
      </w:r>
      <w:r w:rsidRPr="00B80AAA">
        <w:rPr>
          <w:color w:val="000000" w:themeColor="text1"/>
          <w:vertAlign w:val="superscript"/>
        </w:rPr>
        <w:footnoteReference w:id="194"/>
      </w:r>
      <w:r w:rsidRPr="00B80AAA">
        <w:rPr>
          <w:color w:val="000000" w:themeColor="text1"/>
        </w:rPr>
        <w:t xml:space="preserve"> In the case of the </w:t>
      </w:r>
      <w:r w:rsidRPr="00B80AAA">
        <w:rPr>
          <w:i/>
          <w:color w:val="000000" w:themeColor="text1"/>
        </w:rPr>
        <w:t>Afro-descendant Communities Displaced from the Cacarica River Basin (Operation Genesis) v. Colombia</w:t>
      </w:r>
      <w:r w:rsidRPr="00B80AAA">
        <w:rPr>
          <w:color w:val="000000" w:themeColor="text1"/>
        </w:rPr>
        <w:t>, the Court found that as the State had not provided an effective remedy to stop the expropriation of the collective property of the indigenous people, that they had violated Article 25 of the Convention.</w:t>
      </w:r>
      <w:r w:rsidRPr="00B80AAA">
        <w:rPr>
          <w:color w:val="000000" w:themeColor="text1"/>
          <w:vertAlign w:val="superscript"/>
        </w:rPr>
        <w:footnoteReference w:id="195"/>
      </w:r>
      <w:r w:rsidRPr="00B80AAA">
        <w:rPr>
          <w:color w:val="000000" w:themeColor="text1"/>
        </w:rPr>
        <w:t xml:space="preserve"> In the case of </w:t>
      </w:r>
      <w:r w:rsidRPr="00B80AAA">
        <w:rPr>
          <w:i/>
          <w:color w:val="000000" w:themeColor="text1"/>
        </w:rPr>
        <w:t>Bámaca Velasquez v</w:t>
      </w:r>
      <w:r w:rsidR="00A75207" w:rsidRPr="00B80AAA">
        <w:rPr>
          <w:i/>
          <w:color w:val="000000" w:themeColor="text1"/>
        </w:rPr>
        <w:t>.</w:t>
      </w:r>
      <w:r w:rsidRPr="00B80AAA">
        <w:rPr>
          <w:i/>
          <w:color w:val="000000" w:themeColor="text1"/>
        </w:rPr>
        <w:t xml:space="preserve"> Guatemala</w:t>
      </w:r>
      <w:r w:rsidRPr="00B80AAA">
        <w:rPr>
          <w:color w:val="000000" w:themeColor="text1"/>
        </w:rPr>
        <w:t xml:space="preserve"> this Court held that it is not sufficient that such recourses exist, but that they must give results or responses to the violations of rights established in the Convention.</w:t>
      </w:r>
      <w:r w:rsidRPr="00B80AAA">
        <w:rPr>
          <w:color w:val="000000" w:themeColor="text1"/>
          <w:vertAlign w:val="superscript"/>
        </w:rPr>
        <w:footnoteReference w:id="196"/>
      </w:r>
      <w:r w:rsidRPr="00B80AAA">
        <w:rPr>
          <w:color w:val="000000" w:themeColor="text1"/>
        </w:rPr>
        <w:t xml:space="preserve"> This right is therefore concerned with the substantive nature and effects of laws set to protect fundamental rights. The amparo claim was first brought on 30 July 2011 and </w:t>
      </w:r>
      <w:r w:rsidRPr="00B80AAA">
        <w:rPr>
          <w:color w:val="000000" w:themeColor="text1"/>
        </w:rPr>
        <w:lastRenderedPageBreak/>
        <w:t>the injunction was granted on 10 August 2011.</w:t>
      </w:r>
      <w:r w:rsidRPr="00B80AAA">
        <w:rPr>
          <w:color w:val="000000" w:themeColor="text1"/>
          <w:vertAlign w:val="superscript"/>
        </w:rPr>
        <w:footnoteReference w:id="197"/>
      </w:r>
      <w:r w:rsidRPr="00B80AAA">
        <w:rPr>
          <w:color w:val="000000" w:themeColor="text1"/>
        </w:rPr>
        <w:t xml:space="preserve"> It has been noted by the Court that justice that is not timely is not justice.</w:t>
      </w:r>
      <w:r w:rsidRPr="00B80AAA">
        <w:rPr>
          <w:color w:val="000000" w:themeColor="text1"/>
          <w:vertAlign w:val="superscript"/>
        </w:rPr>
        <w:footnoteReference w:id="198"/>
      </w:r>
      <w:r w:rsidRPr="00B80AAA">
        <w:rPr>
          <w:color w:val="000000" w:themeColor="text1"/>
        </w:rPr>
        <w:t xml:space="preserve"> This is directly related to the need for there to be proper recourse to justice. The amparo action ought </w:t>
      </w:r>
      <w:r w:rsidR="003B4FAF" w:rsidRPr="00B80AAA">
        <w:rPr>
          <w:color w:val="000000" w:themeColor="text1"/>
        </w:rPr>
        <w:t>not to have</w:t>
      </w:r>
      <w:r w:rsidRPr="00B80AAA">
        <w:rPr>
          <w:color w:val="000000" w:themeColor="text1"/>
        </w:rPr>
        <w:t xml:space="preserve"> </w:t>
      </w:r>
      <w:r w:rsidR="003B4FAF" w:rsidRPr="00B80AAA">
        <w:rPr>
          <w:color w:val="000000" w:themeColor="text1"/>
        </w:rPr>
        <w:t xml:space="preserve">only </w:t>
      </w:r>
      <w:r w:rsidRPr="00B80AAA">
        <w:rPr>
          <w:color w:val="000000" w:themeColor="text1"/>
        </w:rPr>
        <w:t>been an available remedy, but ought to have yielded a result that would remedy the rights lost. However due to the amparo being rendered ineffective through procedural defects, there has been a violation of Article 25 by Santa Clara.</w:t>
      </w:r>
    </w:p>
    <w:p w:rsidR="00BB534A" w:rsidRPr="00B80AAA" w:rsidRDefault="00BB534A" w:rsidP="00B80AAA">
      <w:pPr>
        <w:keepNext/>
        <w:keepLines/>
        <w:spacing w:before="200" w:after="0" w:line="480" w:lineRule="auto"/>
        <w:jc w:val="both"/>
        <w:outlineLvl w:val="2"/>
        <w:rPr>
          <w:rFonts w:eastAsiaTheme="majorEastAsia"/>
          <w:b/>
          <w:bCs/>
          <w:i/>
          <w:color w:val="000000" w:themeColor="text1"/>
        </w:rPr>
      </w:pPr>
      <w:bookmarkStart w:id="70" w:name="_Toc444210340"/>
      <w:bookmarkStart w:id="71" w:name="_Toc440366961"/>
      <w:bookmarkStart w:id="72" w:name="_Toc446831643"/>
      <w:r w:rsidRPr="00B80AAA">
        <w:rPr>
          <w:rFonts w:eastAsiaTheme="majorEastAsia"/>
          <w:b/>
          <w:bCs/>
          <w:i/>
          <w:color w:val="000000" w:themeColor="text1"/>
        </w:rPr>
        <w:t>3.4.5 Article 26-Violation of the Right to Progressive Development in respect of the Pichicha people</w:t>
      </w:r>
      <w:bookmarkEnd w:id="70"/>
      <w:bookmarkEnd w:id="71"/>
      <w:bookmarkEnd w:id="72"/>
    </w:p>
    <w:p w:rsidR="004F7047" w:rsidRPr="00B80AAA" w:rsidRDefault="00BB534A" w:rsidP="00B80AAA">
      <w:pPr>
        <w:spacing w:line="480" w:lineRule="auto"/>
        <w:jc w:val="both"/>
        <w:rPr>
          <w:color w:val="000000" w:themeColor="text1"/>
        </w:rPr>
      </w:pPr>
      <w:r w:rsidRPr="00B80AAA">
        <w:rPr>
          <w:color w:val="000000" w:themeColor="text1"/>
        </w:rPr>
        <w:t>This article sets out the obligations of State Parties concerning economic, social and cultural rights. It indicates that measures ought to be adopted both internally and through international cooperation in order to progressively achieve the realization of the rights set out in the Charter of the OAS.</w:t>
      </w:r>
      <w:r w:rsidRPr="00B80AAA">
        <w:rPr>
          <w:color w:val="000000" w:themeColor="text1"/>
          <w:vertAlign w:val="superscript"/>
        </w:rPr>
        <w:footnoteReference w:id="199"/>
      </w:r>
      <w:r w:rsidRPr="00B80AAA">
        <w:rPr>
          <w:color w:val="000000" w:themeColor="text1"/>
        </w:rPr>
        <w:t xml:space="preserve"> Additionally, Article 2(2)(b) of </w:t>
      </w:r>
      <w:r w:rsidRPr="00B80AAA">
        <w:rPr>
          <w:i/>
          <w:color w:val="000000" w:themeColor="text1"/>
        </w:rPr>
        <w:t>ILO 169</w:t>
      </w:r>
      <w:r w:rsidRPr="00B80AAA">
        <w:rPr>
          <w:color w:val="000000" w:themeColor="text1"/>
        </w:rPr>
        <w:t xml:space="preserve"> places on the State, the responsibility to promote the full realisation of social, economic and cultural rights of the indigenous peoples, with respect for their social and cultural identity, their customs and traditions, and their institutions.</w:t>
      </w:r>
      <w:r w:rsidRPr="00B80AAA">
        <w:rPr>
          <w:color w:val="000000" w:themeColor="text1"/>
          <w:vertAlign w:val="superscript"/>
        </w:rPr>
        <w:footnoteReference w:id="200"/>
      </w:r>
      <w:r w:rsidRPr="00B80AAA">
        <w:rPr>
          <w:color w:val="000000" w:themeColor="text1"/>
        </w:rPr>
        <w:t xml:space="preserve"> This means that the State of Santa Clara ought to have implemented measures that would aid in the indigenous people progressively realizing their rights. It also shows that Santa Clara ought to see the development of indigenous rights, subject to indigenous cultures and practices. The State would therefore have to, among other things, respect the religious beliefs of the Pichicha people, which clearly was not done considering the irreparable harm caused to the religious sites near the Mandí Stream.</w:t>
      </w:r>
      <w:r w:rsidRPr="00B80AAA">
        <w:rPr>
          <w:color w:val="000000" w:themeColor="text1"/>
          <w:vertAlign w:val="superscript"/>
        </w:rPr>
        <w:footnoteReference w:id="201"/>
      </w:r>
      <w:r w:rsidRPr="00B80AAA">
        <w:rPr>
          <w:color w:val="000000" w:themeColor="text1"/>
        </w:rPr>
        <w:t xml:space="preserve"> There is no evidence of domestic laws having been put </w:t>
      </w:r>
      <w:r w:rsidRPr="00B80AAA">
        <w:rPr>
          <w:color w:val="000000" w:themeColor="text1"/>
        </w:rPr>
        <w:lastRenderedPageBreak/>
        <w:t>in place regarding indigenous groups and their protection. This also is inimical to the progressive development of human rights. Santa Clara therefore failed in its duty enshrined in this Article.</w:t>
      </w:r>
      <w:bookmarkStart w:id="73" w:name="_Toc440048755"/>
      <w:bookmarkStart w:id="74" w:name="_Toc440366962"/>
    </w:p>
    <w:p w:rsidR="00BB534A" w:rsidRPr="00B80AAA" w:rsidRDefault="00BB534A" w:rsidP="00B80AAA">
      <w:pPr>
        <w:pStyle w:val="Heading2"/>
        <w:spacing w:line="480" w:lineRule="auto"/>
        <w:jc w:val="both"/>
        <w:rPr>
          <w:rFonts w:ascii="Times New Roman" w:eastAsiaTheme="minorHAnsi" w:hAnsi="Times New Roman" w:cs="Times New Roman"/>
          <w:color w:val="000000" w:themeColor="text1"/>
          <w:sz w:val="24"/>
          <w:szCs w:val="24"/>
        </w:rPr>
      </w:pPr>
      <w:bookmarkStart w:id="75" w:name="_Toc446831644"/>
      <w:r w:rsidRPr="00B80AAA">
        <w:rPr>
          <w:rFonts w:ascii="Times New Roman" w:hAnsi="Times New Roman" w:cs="Times New Roman"/>
          <w:color w:val="000000" w:themeColor="text1"/>
          <w:sz w:val="24"/>
          <w:szCs w:val="24"/>
        </w:rPr>
        <w:t>3.5 Santa Clara has violated Articles 8 and 25 of the American Convention, all read in conjunc</w:t>
      </w:r>
      <w:r w:rsidR="003B4FAF" w:rsidRPr="00B80AAA">
        <w:rPr>
          <w:rFonts w:ascii="Times New Roman" w:hAnsi="Times New Roman" w:cs="Times New Roman"/>
          <w:color w:val="000000" w:themeColor="text1"/>
          <w:sz w:val="24"/>
          <w:szCs w:val="24"/>
        </w:rPr>
        <w:t>tion with Articles 1(1) and 2 in respect of</w:t>
      </w:r>
      <w:r w:rsidRPr="00B80AAA">
        <w:rPr>
          <w:rFonts w:ascii="Times New Roman" w:hAnsi="Times New Roman" w:cs="Times New Roman"/>
          <w:color w:val="000000" w:themeColor="text1"/>
          <w:sz w:val="24"/>
          <w:szCs w:val="24"/>
        </w:rPr>
        <w:t xml:space="preserve"> the Orífuna people.</w:t>
      </w:r>
      <w:bookmarkEnd w:id="75"/>
      <w:r w:rsidRPr="00B80AAA">
        <w:rPr>
          <w:rFonts w:ascii="Times New Roman" w:hAnsi="Times New Roman" w:cs="Times New Roman"/>
          <w:color w:val="000000" w:themeColor="text1"/>
          <w:sz w:val="24"/>
          <w:szCs w:val="24"/>
        </w:rPr>
        <w:tab/>
      </w:r>
    </w:p>
    <w:p w:rsidR="00BB534A" w:rsidRPr="00B80AAA" w:rsidRDefault="00BB534A" w:rsidP="00B80AAA">
      <w:pPr>
        <w:keepNext/>
        <w:keepLines/>
        <w:spacing w:before="200" w:after="0" w:line="480" w:lineRule="auto"/>
        <w:jc w:val="both"/>
        <w:outlineLvl w:val="2"/>
        <w:rPr>
          <w:rFonts w:eastAsiaTheme="majorEastAsia"/>
          <w:b/>
          <w:bCs/>
          <w:i/>
          <w:color w:val="000000" w:themeColor="text1"/>
        </w:rPr>
      </w:pPr>
      <w:bookmarkStart w:id="76" w:name="_Toc446831645"/>
      <w:r w:rsidRPr="00B80AAA">
        <w:rPr>
          <w:rFonts w:eastAsiaTheme="majorEastAsia"/>
          <w:b/>
          <w:bCs/>
          <w:i/>
          <w:color w:val="000000" w:themeColor="text1"/>
        </w:rPr>
        <w:t xml:space="preserve">3.5.1 Article 8 and 25- Violation the Rights to Fair </w:t>
      </w:r>
      <w:r w:rsidR="003B4FAF" w:rsidRPr="00B80AAA">
        <w:rPr>
          <w:rFonts w:eastAsiaTheme="majorEastAsia"/>
          <w:b/>
          <w:bCs/>
          <w:i/>
          <w:color w:val="000000" w:themeColor="text1"/>
        </w:rPr>
        <w:t>Trial and Judicial Protection in respect of</w:t>
      </w:r>
      <w:r w:rsidRPr="00B80AAA">
        <w:rPr>
          <w:rFonts w:eastAsiaTheme="majorEastAsia"/>
          <w:b/>
          <w:bCs/>
          <w:i/>
          <w:color w:val="000000" w:themeColor="text1"/>
        </w:rPr>
        <w:t xml:space="preserve"> the Orífuna people</w:t>
      </w:r>
      <w:bookmarkEnd w:id="76"/>
    </w:p>
    <w:bookmarkEnd w:id="73"/>
    <w:bookmarkEnd w:id="74"/>
    <w:p w:rsidR="00357C2F" w:rsidRPr="00B80AAA" w:rsidRDefault="00BB534A" w:rsidP="00B80AAA">
      <w:pPr>
        <w:spacing w:line="480" w:lineRule="auto"/>
        <w:jc w:val="both"/>
        <w:rPr>
          <w:color w:val="000000" w:themeColor="text1"/>
        </w:rPr>
      </w:pPr>
      <w:r w:rsidRPr="00B80AAA">
        <w:rPr>
          <w:color w:val="000000" w:themeColor="text1"/>
        </w:rPr>
        <w:t xml:space="preserve">State Parties to the </w:t>
      </w:r>
      <w:r w:rsidRPr="00B80AAA">
        <w:rPr>
          <w:i/>
          <w:color w:val="000000" w:themeColor="text1"/>
        </w:rPr>
        <w:t>ACHR</w:t>
      </w:r>
      <w:r w:rsidRPr="00B80AAA">
        <w:rPr>
          <w:color w:val="000000" w:themeColor="text1"/>
        </w:rPr>
        <w:t>, upon ratification have the obligation under Article 8 to recognise and protect the right to fair trial. This right contemplates that in order for a trial to be ‘fair’ the State must not only investigate, prosecute and punish, but it must also take into consideration all relevant apparatus in its legal system before it makes a decision. This consideration must also be done in good faith. In this present case the Orífuna people’s claim for the violation of their right to prior consultation was held to be unfounded because the State of Santa Clara claimed such a right did not exist in Santa Clara when it pertained to foreign policy. These assertio</w:t>
      </w:r>
      <w:r w:rsidR="003B4FAF" w:rsidRPr="00B80AAA">
        <w:rPr>
          <w:color w:val="000000" w:themeColor="text1"/>
        </w:rPr>
        <w:t>ns by Santa Clara, however, go</w:t>
      </w:r>
      <w:r w:rsidRPr="00B80AAA">
        <w:rPr>
          <w:color w:val="000000" w:themeColor="text1"/>
        </w:rPr>
        <w:t xml:space="preserve"> against the general principle of international law </w:t>
      </w:r>
      <w:r w:rsidRPr="00B80AAA">
        <w:rPr>
          <w:i/>
          <w:color w:val="000000" w:themeColor="text1"/>
        </w:rPr>
        <w:t>pacta sunt servanda</w:t>
      </w:r>
      <w:r w:rsidRPr="00B80AAA">
        <w:rPr>
          <w:color w:val="000000" w:themeColor="text1"/>
        </w:rPr>
        <w:t xml:space="preserve">, adopted through Article 29 of the </w:t>
      </w:r>
      <w:r w:rsidRPr="00B80AAA">
        <w:rPr>
          <w:i/>
          <w:color w:val="000000" w:themeColor="text1"/>
        </w:rPr>
        <w:t>Convention</w:t>
      </w:r>
      <w:r w:rsidRPr="00B80AAA">
        <w:rPr>
          <w:color w:val="000000" w:themeColor="text1"/>
        </w:rPr>
        <w:t>.</w:t>
      </w:r>
      <w:r w:rsidRPr="00B80AAA">
        <w:rPr>
          <w:color w:val="000000" w:themeColor="text1"/>
          <w:vertAlign w:val="superscript"/>
        </w:rPr>
        <w:footnoteReference w:id="202"/>
      </w:r>
      <w:r w:rsidRPr="00B80AAA">
        <w:rPr>
          <w:color w:val="000000" w:themeColor="text1"/>
        </w:rPr>
        <w:t xml:space="preserve"> Santa Clara in 1980 ratified the American Convention and thus by virtue of Article 1(1)</w:t>
      </w:r>
      <w:r w:rsidRPr="00B80AAA">
        <w:rPr>
          <w:color w:val="000000" w:themeColor="text1"/>
          <w:vertAlign w:val="superscript"/>
        </w:rPr>
        <w:footnoteReference w:id="203"/>
      </w:r>
      <w:r w:rsidRPr="00B80AAA">
        <w:rPr>
          <w:color w:val="000000" w:themeColor="text1"/>
        </w:rPr>
        <w:t xml:space="preserve"> is bound to give effect to the rights in the convention. It is through Article 29</w:t>
      </w:r>
      <w:r w:rsidRPr="00B80AAA">
        <w:rPr>
          <w:color w:val="000000" w:themeColor="text1"/>
          <w:vertAlign w:val="superscript"/>
        </w:rPr>
        <w:footnoteReference w:id="204"/>
      </w:r>
      <w:r w:rsidR="00BC11BC" w:rsidRPr="00B80AAA">
        <w:rPr>
          <w:color w:val="000000" w:themeColor="text1"/>
        </w:rPr>
        <w:t xml:space="preserve"> that State P</w:t>
      </w:r>
      <w:r w:rsidRPr="00B80AAA">
        <w:rPr>
          <w:color w:val="000000" w:themeColor="text1"/>
        </w:rPr>
        <w:t>arties are also bound to promote the effective application (</w:t>
      </w:r>
      <w:r w:rsidRPr="00B80AAA">
        <w:rPr>
          <w:i/>
          <w:iCs/>
          <w:color w:val="000000" w:themeColor="text1"/>
        </w:rPr>
        <w:t>effet utile</w:t>
      </w:r>
      <w:r w:rsidRPr="00B80AAA">
        <w:rPr>
          <w:color w:val="000000" w:themeColor="text1"/>
        </w:rPr>
        <w:t>) of the instrument a</w:t>
      </w:r>
      <w:r w:rsidR="00C94FF8" w:rsidRPr="00B80AAA">
        <w:rPr>
          <w:color w:val="000000" w:themeColor="text1"/>
        </w:rPr>
        <w:t>s the C</w:t>
      </w:r>
      <w:r w:rsidRPr="00B80AAA">
        <w:rPr>
          <w:color w:val="000000" w:themeColor="text1"/>
        </w:rPr>
        <w:t xml:space="preserve">ourt strives for a </w:t>
      </w:r>
      <w:r w:rsidRPr="00B80AAA">
        <w:rPr>
          <w:i/>
          <w:iCs/>
          <w:color w:val="000000" w:themeColor="text1"/>
        </w:rPr>
        <w:t>pro homine</w:t>
      </w:r>
      <w:r w:rsidRPr="00B80AAA">
        <w:rPr>
          <w:color w:val="000000" w:themeColor="text1"/>
        </w:rPr>
        <w:t xml:space="preserve"> interpretation of </w:t>
      </w:r>
      <w:r w:rsidR="002005B8" w:rsidRPr="00B80AAA">
        <w:rPr>
          <w:color w:val="000000" w:themeColor="text1"/>
        </w:rPr>
        <w:t>the C</w:t>
      </w:r>
      <w:r w:rsidRPr="00B80AAA">
        <w:rPr>
          <w:color w:val="000000" w:themeColor="text1"/>
        </w:rPr>
        <w:t xml:space="preserve">onvention, rejecting interpretations which aim at looking for the ‘original intent’ of an instrument. Therefore despite the development of the right as seen in </w:t>
      </w:r>
      <w:r w:rsidRPr="00B80AAA">
        <w:rPr>
          <w:bCs/>
          <w:i/>
          <w:iCs/>
          <w:color w:val="000000" w:themeColor="text1"/>
        </w:rPr>
        <w:t>Saramaka People v</w:t>
      </w:r>
      <w:r w:rsidR="0040463A" w:rsidRPr="00B80AAA">
        <w:rPr>
          <w:bCs/>
          <w:i/>
          <w:iCs/>
          <w:color w:val="000000" w:themeColor="text1"/>
        </w:rPr>
        <w:t>.</w:t>
      </w:r>
      <w:r w:rsidRPr="00B80AAA">
        <w:rPr>
          <w:bCs/>
          <w:i/>
          <w:iCs/>
          <w:color w:val="000000" w:themeColor="text1"/>
        </w:rPr>
        <w:t xml:space="preserve"> </w:t>
      </w:r>
      <w:r w:rsidRPr="00B80AAA">
        <w:rPr>
          <w:bCs/>
          <w:i/>
          <w:iCs/>
          <w:color w:val="000000" w:themeColor="text1"/>
        </w:rPr>
        <w:lastRenderedPageBreak/>
        <w:t>Suriname</w:t>
      </w:r>
      <w:r w:rsidRPr="00B80AAA">
        <w:rPr>
          <w:bCs/>
          <w:i/>
          <w:iCs/>
          <w:color w:val="000000" w:themeColor="text1"/>
          <w:vertAlign w:val="superscript"/>
        </w:rPr>
        <w:footnoteReference w:id="205"/>
      </w:r>
      <w:r w:rsidRPr="00B80AAA">
        <w:rPr>
          <w:bCs/>
          <w:i/>
          <w:iCs/>
          <w:color w:val="000000" w:themeColor="text1"/>
        </w:rPr>
        <w:t xml:space="preserve"> </w:t>
      </w:r>
      <w:r w:rsidRPr="00B80AAA">
        <w:rPr>
          <w:color w:val="000000" w:themeColor="text1"/>
        </w:rPr>
        <w:t xml:space="preserve">not being contemplated in such a wide of a scope in the 1980’s when Santa Clara acceded to the </w:t>
      </w:r>
      <w:r w:rsidRPr="00B80AAA">
        <w:rPr>
          <w:i/>
          <w:color w:val="000000" w:themeColor="text1"/>
        </w:rPr>
        <w:t>Convention</w:t>
      </w:r>
      <w:r w:rsidRPr="00B80AAA">
        <w:rPr>
          <w:color w:val="000000" w:themeColor="text1"/>
        </w:rPr>
        <w:t>, the State is expected to perform its obligations in good faith. There was no consultation with the indigenous people, but rather only dissemination of information and meetings to discuss compensation and benefits.</w:t>
      </w:r>
      <w:r w:rsidRPr="00B80AAA">
        <w:rPr>
          <w:color w:val="000000" w:themeColor="text1"/>
          <w:vertAlign w:val="superscript"/>
        </w:rPr>
        <w:footnoteReference w:id="206"/>
      </w:r>
      <w:r w:rsidRPr="00B80AAA">
        <w:rPr>
          <w:color w:val="000000" w:themeColor="text1"/>
        </w:rPr>
        <w:t xml:space="preserve"> Likewise Article 25 requires a State not only to provide a judicial remedy but rather to ensure the remedy is “truly effective to establish whether or not there has been a human rights violation and to provide reparation.</w:t>
      </w:r>
      <w:r w:rsidRPr="00B80AAA">
        <w:rPr>
          <w:color w:val="000000" w:themeColor="text1"/>
          <w:vertAlign w:val="superscript"/>
        </w:rPr>
        <w:footnoteReference w:id="207"/>
      </w:r>
      <w:r w:rsidRPr="00B80AAA">
        <w:rPr>
          <w:color w:val="000000" w:themeColor="text1"/>
        </w:rPr>
        <w:t xml:space="preserve"> In the case of the Orífuna people, Santa Clara did not have any remedy to account for the lack of prior consultation.</w:t>
      </w:r>
      <w:r w:rsidRPr="00B80AAA">
        <w:rPr>
          <w:color w:val="000000" w:themeColor="text1"/>
          <w:vertAlign w:val="superscript"/>
        </w:rPr>
        <w:footnoteReference w:id="208"/>
      </w:r>
      <w:r w:rsidRPr="00B80AAA">
        <w:rPr>
          <w:color w:val="000000" w:themeColor="text1"/>
        </w:rPr>
        <w:t xml:space="preserve"> Additionally, Article 4 of </w:t>
      </w:r>
      <w:r w:rsidRPr="00B80AAA">
        <w:rPr>
          <w:i/>
          <w:color w:val="000000" w:themeColor="text1"/>
        </w:rPr>
        <w:t>ILO 169</w:t>
      </w:r>
      <w:r w:rsidRPr="00B80AAA">
        <w:rPr>
          <w:color w:val="000000" w:themeColor="text1"/>
        </w:rPr>
        <w:t>, states that special measures shall be adopted for the safeguarding of indigenous peoples, their culture, environment, property, institutions and labour.</w:t>
      </w:r>
      <w:r w:rsidRPr="00B80AAA">
        <w:rPr>
          <w:color w:val="000000" w:themeColor="text1"/>
          <w:vertAlign w:val="superscript"/>
        </w:rPr>
        <w:footnoteReference w:id="209"/>
      </w:r>
      <w:r w:rsidRPr="00B80AAA">
        <w:rPr>
          <w:color w:val="000000" w:themeColor="text1"/>
        </w:rPr>
        <w:t xml:space="preserve"> No such measures were adopted by Santa Clara and as a result the Orífuna people suffered. The absence of such a remedy directly violates the right to judicial protection and Santa Clara would be in violation of both Articles 8 and 25.</w:t>
      </w:r>
    </w:p>
    <w:p w:rsidR="00EB3ABE" w:rsidRPr="00B80AAA" w:rsidRDefault="00EB3ABE" w:rsidP="00B80AAA">
      <w:pPr>
        <w:pStyle w:val="Heading1"/>
        <w:numPr>
          <w:ilvl w:val="0"/>
          <w:numId w:val="9"/>
        </w:numPr>
        <w:spacing w:line="480" w:lineRule="auto"/>
        <w:ind w:left="0" w:firstLine="0"/>
        <w:jc w:val="both"/>
        <w:rPr>
          <w:rFonts w:ascii="Times New Roman" w:hAnsi="Times New Roman" w:cs="Times New Roman"/>
          <w:color w:val="000000" w:themeColor="text1"/>
          <w:sz w:val="24"/>
          <w:szCs w:val="24"/>
        </w:rPr>
      </w:pPr>
      <w:bookmarkStart w:id="77" w:name="_Toc440366964"/>
      <w:bookmarkStart w:id="78" w:name="_Toc446831646"/>
      <w:bookmarkEnd w:id="19"/>
      <w:r w:rsidRPr="00B80AAA">
        <w:rPr>
          <w:rFonts w:ascii="Times New Roman" w:hAnsi="Times New Roman" w:cs="Times New Roman"/>
          <w:color w:val="000000" w:themeColor="text1"/>
          <w:sz w:val="24"/>
          <w:szCs w:val="24"/>
        </w:rPr>
        <w:t>REQUEST FOR RELIEF</w:t>
      </w:r>
      <w:bookmarkEnd w:id="77"/>
      <w:bookmarkEnd w:id="78"/>
    </w:p>
    <w:p w:rsidR="00EB3ABE" w:rsidRPr="00B80AAA" w:rsidRDefault="00EB3ABE" w:rsidP="00B80AAA">
      <w:pPr>
        <w:spacing w:line="480" w:lineRule="auto"/>
        <w:jc w:val="both"/>
        <w:rPr>
          <w:color w:val="000000" w:themeColor="text1"/>
        </w:rPr>
      </w:pPr>
      <w:r w:rsidRPr="00B80AAA">
        <w:rPr>
          <w:color w:val="000000" w:themeColor="text1"/>
        </w:rPr>
        <w:t xml:space="preserve">Based on the foregoing submissions, the </w:t>
      </w:r>
      <w:r w:rsidR="002D397A" w:rsidRPr="00B80AAA">
        <w:rPr>
          <w:color w:val="000000" w:themeColor="text1"/>
        </w:rPr>
        <w:t xml:space="preserve">Representatives of the Victims </w:t>
      </w:r>
      <w:r w:rsidRPr="00B80AAA">
        <w:rPr>
          <w:color w:val="000000" w:themeColor="text1"/>
        </w:rPr>
        <w:t>respectfully request that this Court:</w:t>
      </w:r>
    </w:p>
    <w:p w:rsidR="00EB3ABE" w:rsidRPr="00B80AAA" w:rsidRDefault="00EB3ABE" w:rsidP="00B80AAA">
      <w:pPr>
        <w:spacing w:line="480" w:lineRule="auto"/>
        <w:jc w:val="both"/>
        <w:rPr>
          <w:color w:val="000000" w:themeColor="text1"/>
        </w:rPr>
      </w:pPr>
      <w:r w:rsidRPr="00B80AAA">
        <w:rPr>
          <w:color w:val="000000" w:themeColor="text1"/>
        </w:rPr>
        <w:t xml:space="preserve">1.  Declare that Santa Clara has violated the rights enshrined in Articles 4, 5, 16, 17, 8 and 25 of the </w:t>
      </w:r>
      <w:r w:rsidRPr="00B80AAA">
        <w:rPr>
          <w:i/>
          <w:color w:val="000000" w:themeColor="text1"/>
        </w:rPr>
        <w:t>American Convention</w:t>
      </w:r>
      <w:r w:rsidRPr="00B80AAA">
        <w:rPr>
          <w:color w:val="000000" w:themeColor="text1"/>
        </w:rPr>
        <w:t>, all read in conjunction with A</w:t>
      </w:r>
      <w:r w:rsidR="007F7E8A">
        <w:rPr>
          <w:color w:val="000000" w:themeColor="text1"/>
        </w:rPr>
        <w:t>rticles 1(1) and 2 in respect of</w:t>
      </w:r>
      <w:r w:rsidRPr="00B80AAA">
        <w:rPr>
          <w:color w:val="000000" w:themeColor="text1"/>
        </w:rPr>
        <w:t xml:space="preserve"> Edmundo Camana, </w:t>
      </w:r>
      <w:r w:rsidR="006D2F9B" w:rsidRPr="00B80AAA">
        <w:rPr>
          <w:color w:val="000000" w:themeColor="text1"/>
        </w:rPr>
        <w:t>Teresa Osorio, and their</w:t>
      </w:r>
      <w:r w:rsidRPr="00B80AAA">
        <w:rPr>
          <w:color w:val="000000" w:themeColor="text1"/>
        </w:rPr>
        <w:t xml:space="preserve"> children;</w:t>
      </w:r>
    </w:p>
    <w:p w:rsidR="00653CBB" w:rsidRPr="00B80AAA" w:rsidRDefault="00653CBB" w:rsidP="00B80AAA">
      <w:pPr>
        <w:spacing w:line="480" w:lineRule="auto"/>
        <w:jc w:val="both"/>
        <w:rPr>
          <w:color w:val="000000" w:themeColor="text1"/>
        </w:rPr>
      </w:pPr>
    </w:p>
    <w:p w:rsidR="00653CBB" w:rsidRPr="00B80AAA" w:rsidRDefault="00653CBB" w:rsidP="00B80AAA">
      <w:pPr>
        <w:spacing w:line="480" w:lineRule="auto"/>
        <w:jc w:val="both"/>
        <w:rPr>
          <w:color w:val="000000" w:themeColor="text1"/>
        </w:rPr>
      </w:pPr>
      <w:r w:rsidRPr="00B80AAA">
        <w:rPr>
          <w:color w:val="000000" w:themeColor="text1"/>
        </w:rPr>
        <w:t xml:space="preserve">2.  Declare that Santa Clara has </w:t>
      </w:r>
      <w:r w:rsidR="005B42C9" w:rsidRPr="00B80AAA">
        <w:rPr>
          <w:color w:val="000000" w:themeColor="text1"/>
        </w:rPr>
        <w:t xml:space="preserve">violated </w:t>
      </w:r>
      <w:r w:rsidRPr="00B80AAA">
        <w:rPr>
          <w:color w:val="000000" w:themeColor="text1"/>
        </w:rPr>
        <w:t>Arti</w:t>
      </w:r>
      <w:r w:rsidR="005B42C9" w:rsidRPr="00B80AAA">
        <w:rPr>
          <w:color w:val="000000" w:themeColor="text1"/>
        </w:rPr>
        <w:t xml:space="preserve">cle </w:t>
      </w:r>
      <w:r w:rsidRPr="00B80AAA">
        <w:rPr>
          <w:color w:val="000000" w:themeColor="text1"/>
        </w:rPr>
        <w:t xml:space="preserve">5.1 </w:t>
      </w:r>
      <w:r w:rsidR="006D6B63" w:rsidRPr="00B80AAA">
        <w:rPr>
          <w:color w:val="000000" w:themeColor="text1"/>
        </w:rPr>
        <w:t xml:space="preserve">of </w:t>
      </w:r>
      <w:r w:rsidRPr="00B80AAA">
        <w:rPr>
          <w:color w:val="000000" w:themeColor="text1"/>
        </w:rPr>
        <w:t xml:space="preserve">the </w:t>
      </w:r>
      <w:r w:rsidRPr="00B80AAA">
        <w:rPr>
          <w:i/>
          <w:color w:val="000000" w:themeColor="text1"/>
        </w:rPr>
        <w:t>American Convention</w:t>
      </w:r>
      <w:r w:rsidRPr="00B80AAA">
        <w:rPr>
          <w:color w:val="000000" w:themeColor="text1"/>
        </w:rPr>
        <w:t>, read in conjunction with Articles 1(1) and 2 in respect to the immediate relatives of Edmundo Camana, Teresa Osorio, and their children;</w:t>
      </w:r>
    </w:p>
    <w:p w:rsidR="00EB3ABE" w:rsidRPr="00B80AAA" w:rsidRDefault="00653CBB" w:rsidP="00B80AAA">
      <w:pPr>
        <w:spacing w:line="480" w:lineRule="auto"/>
        <w:jc w:val="both"/>
        <w:rPr>
          <w:color w:val="000000" w:themeColor="text1"/>
        </w:rPr>
      </w:pPr>
      <w:r w:rsidRPr="00B80AAA">
        <w:rPr>
          <w:color w:val="000000" w:themeColor="text1"/>
        </w:rPr>
        <w:t>3</w:t>
      </w:r>
      <w:r w:rsidR="00EB3ABE" w:rsidRPr="00B80AAA">
        <w:rPr>
          <w:color w:val="000000" w:themeColor="text1"/>
        </w:rPr>
        <w:t xml:space="preserve">.  Declare that Santa Clara has violated the rights enshrined in Articles 5, 8, 21, 25 and 26 of the </w:t>
      </w:r>
      <w:r w:rsidR="00EB3ABE" w:rsidRPr="00B80AAA">
        <w:rPr>
          <w:i/>
          <w:color w:val="000000" w:themeColor="text1"/>
        </w:rPr>
        <w:t>American Convention</w:t>
      </w:r>
      <w:r w:rsidR="00EB4BE8" w:rsidRPr="00B80AAA">
        <w:rPr>
          <w:i/>
          <w:color w:val="000000" w:themeColor="text1"/>
        </w:rPr>
        <w:t>,</w:t>
      </w:r>
      <w:r w:rsidR="00EB3ABE" w:rsidRPr="00B80AAA">
        <w:rPr>
          <w:color w:val="000000" w:themeColor="text1"/>
        </w:rPr>
        <w:t xml:space="preserve"> all read in conjunction with Articles 1(1) and 2 in r</w:t>
      </w:r>
      <w:r w:rsidR="007F7E8A">
        <w:rPr>
          <w:color w:val="000000" w:themeColor="text1"/>
        </w:rPr>
        <w:t xml:space="preserve">espect of </w:t>
      </w:r>
      <w:r w:rsidR="00EB3ABE" w:rsidRPr="00B80AAA">
        <w:rPr>
          <w:color w:val="000000" w:themeColor="text1"/>
        </w:rPr>
        <w:t>the Pichicha people;</w:t>
      </w:r>
    </w:p>
    <w:p w:rsidR="00EB3ABE" w:rsidRPr="00B80AAA" w:rsidRDefault="00653CBB" w:rsidP="00B80AAA">
      <w:pPr>
        <w:spacing w:line="480" w:lineRule="auto"/>
        <w:jc w:val="both"/>
        <w:rPr>
          <w:color w:val="000000" w:themeColor="text1"/>
        </w:rPr>
      </w:pPr>
      <w:r w:rsidRPr="00B80AAA">
        <w:rPr>
          <w:color w:val="000000" w:themeColor="text1"/>
        </w:rPr>
        <w:t>4</w:t>
      </w:r>
      <w:r w:rsidR="00EB3ABE" w:rsidRPr="00B80AAA">
        <w:rPr>
          <w:color w:val="000000" w:themeColor="text1"/>
        </w:rPr>
        <w:t xml:space="preserve">.  Declare that Santa Clara has violated the rights enshrined in Articles 8 and 25 of the </w:t>
      </w:r>
      <w:r w:rsidR="00EB3ABE" w:rsidRPr="00B80AAA">
        <w:rPr>
          <w:i/>
          <w:color w:val="000000" w:themeColor="text1"/>
        </w:rPr>
        <w:t>American Convention</w:t>
      </w:r>
      <w:r w:rsidR="00EB4BE8" w:rsidRPr="00B80AAA">
        <w:rPr>
          <w:i/>
          <w:color w:val="000000" w:themeColor="text1"/>
        </w:rPr>
        <w:t>,</w:t>
      </w:r>
      <w:r w:rsidR="00EB3ABE" w:rsidRPr="00B80AAA">
        <w:rPr>
          <w:color w:val="000000" w:themeColor="text1"/>
        </w:rPr>
        <w:t xml:space="preserve"> all read in conjunction with A</w:t>
      </w:r>
      <w:r w:rsidR="007F7E8A">
        <w:rPr>
          <w:color w:val="000000" w:themeColor="text1"/>
        </w:rPr>
        <w:t>rticles 1(1) and 2 in respect of</w:t>
      </w:r>
      <w:r w:rsidR="00EB3ABE" w:rsidRPr="00B80AAA">
        <w:rPr>
          <w:color w:val="000000" w:themeColor="text1"/>
        </w:rPr>
        <w:t xml:space="preserve"> the Orífuna people;</w:t>
      </w:r>
    </w:p>
    <w:p w:rsidR="00EB3ABE" w:rsidRPr="00B80AAA" w:rsidRDefault="00653CBB" w:rsidP="00B80AAA">
      <w:pPr>
        <w:spacing w:line="480" w:lineRule="auto"/>
        <w:jc w:val="both"/>
        <w:rPr>
          <w:color w:val="000000" w:themeColor="text1"/>
        </w:rPr>
      </w:pPr>
      <w:r w:rsidRPr="00B80AAA">
        <w:rPr>
          <w:color w:val="000000" w:themeColor="text1"/>
        </w:rPr>
        <w:t>5</w:t>
      </w:r>
      <w:r w:rsidR="00EB3ABE" w:rsidRPr="00B80AAA">
        <w:rPr>
          <w:color w:val="000000" w:themeColor="text1"/>
        </w:rPr>
        <w:t>. Request that the Wirik</w:t>
      </w:r>
      <w:r w:rsidR="003B4FAF" w:rsidRPr="00B80AAA">
        <w:rPr>
          <w:color w:val="000000" w:themeColor="text1"/>
        </w:rPr>
        <w:t>u</w:t>
      </w:r>
      <w:r w:rsidR="00EB3ABE" w:rsidRPr="00B80AAA">
        <w:rPr>
          <w:color w:val="000000" w:themeColor="text1"/>
        </w:rPr>
        <w:t>ya Project be terminated, given that neither the license nor Social and Environmental Impact</w:t>
      </w:r>
      <w:r w:rsidR="006E08C3" w:rsidRPr="00B80AAA">
        <w:rPr>
          <w:color w:val="000000" w:themeColor="text1"/>
        </w:rPr>
        <w:t xml:space="preserve"> Study</w:t>
      </w:r>
      <w:r w:rsidR="00EB3ABE" w:rsidRPr="00B80AAA">
        <w:rPr>
          <w:color w:val="000000" w:themeColor="text1"/>
        </w:rPr>
        <w:t xml:space="preserve"> had been subject to effective participation, and prior consultation in good faith with the community people; </w:t>
      </w:r>
    </w:p>
    <w:p w:rsidR="0018656A" w:rsidRPr="00B80AAA" w:rsidRDefault="00653CBB" w:rsidP="00B80AAA">
      <w:pPr>
        <w:spacing w:line="480" w:lineRule="auto"/>
        <w:jc w:val="both"/>
        <w:rPr>
          <w:color w:val="000000" w:themeColor="text1"/>
        </w:rPr>
      </w:pPr>
      <w:r w:rsidRPr="00B80AAA">
        <w:rPr>
          <w:color w:val="000000" w:themeColor="text1"/>
        </w:rPr>
        <w:t>6</w:t>
      </w:r>
      <w:r w:rsidR="00EB3ABE" w:rsidRPr="00B80AAA">
        <w:rPr>
          <w:color w:val="000000" w:themeColor="text1"/>
        </w:rPr>
        <w:t xml:space="preserve">.  Order compensation to remedy the inadequacy of the reparations and to cover any expenses associated with bringing this case before the Inter-American Commission and this Court. </w:t>
      </w:r>
    </w:p>
    <w:sectPr w:rsidR="0018656A" w:rsidRPr="00B80AAA" w:rsidSect="006A79B8">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500" w:rsidRDefault="00017500" w:rsidP="00EB3ABE">
      <w:pPr>
        <w:spacing w:after="0" w:line="240" w:lineRule="auto"/>
      </w:pPr>
      <w:r>
        <w:separator/>
      </w:r>
    </w:p>
  </w:endnote>
  <w:endnote w:type="continuationSeparator" w:id="0">
    <w:p w:rsidR="00017500" w:rsidRDefault="00017500" w:rsidP="00EB3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81858"/>
      <w:docPartObj>
        <w:docPartGallery w:val="Page Numbers (Bottom of Page)"/>
        <w:docPartUnique/>
      </w:docPartObj>
    </w:sdtPr>
    <w:sdtEndPr>
      <w:rPr>
        <w:noProof/>
      </w:rPr>
    </w:sdtEndPr>
    <w:sdtContent>
      <w:p w:rsidR="00271D38" w:rsidRPr="00D2389F" w:rsidRDefault="00271D38">
        <w:pPr>
          <w:pStyle w:val="Footer"/>
          <w:jc w:val="center"/>
        </w:pPr>
        <w:r w:rsidRPr="00D2389F">
          <w:fldChar w:fldCharType="begin"/>
        </w:r>
        <w:r w:rsidRPr="00D2389F">
          <w:instrText xml:space="preserve"> PAGE   \* MERGEFORMAT </w:instrText>
        </w:r>
        <w:r w:rsidRPr="00D2389F">
          <w:fldChar w:fldCharType="separate"/>
        </w:r>
        <w:r w:rsidR="00DB0AC4">
          <w:rPr>
            <w:noProof/>
          </w:rPr>
          <w:t>1</w:t>
        </w:r>
        <w:r w:rsidRPr="00D2389F">
          <w:rPr>
            <w:noProof/>
          </w:rPr>
          <w:fldChar w:fldCharType="end"/>
        </w:r>
      </w:p>
    </w:sdtContent>
  </w:sdt>
  <w:p w:rsidR="00271D38" w:rsidRDefault="00271D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500" w:rsidRDefault="00017500" w:rsidP="00EB3ABE">
      <w:pPr>
        <w:spacing w:after="0" w:line="240" w:lineRule="auto"/>
      </w:pPr>
      <w:r>
        <w:separator/>
      </w:r>
    </w:p>
  </w:footnote>
  <w:footnote w:type="continuationSeparator" w:id="0">
    <w:p w:rsidR="00017500" w:rsidRDefault="00017500" w:rsidP="00EB3ABE">
      <w:pPr>
        <w:spacing w:after="0" w:line="240" w:lineRule="auto"/>
      </w:pPr>
      <w:r>
        <w:continuationSeparator/>
      </w:r>
    </w:p>
  </w:footnote>
  <w:footnote w:id="1">
    <w:p w:rsidR="00271D38" w:rsidRDefault="00271D38" w:rsidP="00DB179F">
      <w:pPr>
        <w:pStyle w:val="FootnoteText"/>
        <w:jc w:val="both"/>
      </w:pPr>
      <w:r>
        <w:rPr>
          <w:rStyle w:val="FootnoteReference"/>
        </w:rPr>
        <w:footnoteRef/>
      </w:r>
      <w:r>
        <w:t xml:space="preserve"> Hypothetical Case, para 9.</w:t>
      </w:r>
    </w:p>
  </w:footnote>
  <w:footnote w:id="2">
    <w:p w:rsidR="00271D38" w:rsidRDefault="00271D38" w:rsidP="00DB179F">
      <w:pPr>
        <w:pStyle w:val="FootnoteText"/>
        <w:jc w:val="both"/>
      </w:pPr>
      <w:r>
        <w:rPr>
          <w:rStyle w:val="FootnoteReference"/>
        </w:rPr>
        <w:footnoteRef/>
      </w:r>
      <w:r>
        <w:t xml:space="preserve"> Hypothetical Case, para 2.</w:t>
      </w:r>
    </w:p>
  </w:footnote>
  <w:footnote w:id="3">
    <w:p w:rsidR="00271D38" w:rsidRPr="004C425C" w:rsidRDefault="00271D38" w:rsidP="00B81365">
      <w:pPr>
        <w:pStyle w:val="FootnoteText"/>
        <w:jc w:val="both"/>
      </w:pPr>
      <w:r w:rsidRPr="004C425C">
        <w:rPr>
          <w:rStyle w:val="FootnoteReference"/>
        </w:rPr>
        <w:footnoteRef/>
      </w:r>
      <w:r w:rsidRPr="004C425C">
        <w:t xml:space="preserve"> Hypothetical Case, para 9.</w:t>
      </w:r>
    </w:p>
  </w:footnote>
  <w:footnote w:id="4">
    <w:p w:rsidR="00271D38" w:rsidRPr="00AF1BD2" w:rsidRDefault="00271D38" w:rsidP="00B81365">
      <w:pPr>
        <w:pStyle w:val="FootnoteText"/>
        <w:jc w:val="both"/>
      </w:pPr>
      <w:r w:rsidRPr="004C425C">
        <w:rPr>
          <w:rStyle w:val="FootnoteReference"/>
        </w:rPr>
        <w:footnoteRef/>
      </w:r>
      <w:r>
        <w:t xml:space="preserve"> Hypothetical Case, paras 1 &amp; 2</w:t>
      </w:r>
      <w:r w:rsidRPr="004C425C">
        <w:t>.</w:t>
      </w:r>
    </w:p>
  </w:footnote>
  <w:footnote w:id="5">
    <w:p w:rsidR="00271D38" w:rsidRPr="004C425C" w:rsidRDefault="00271D38" w:rsidP="00B81365">
      <w:pPr>
        <w:pStyle w:val="FootnoteText"/>
        <w:jc w:val="both"/>
      </w:pPr>
      <w:r w:rsidRPr="004C425C">
        <w:rPr>
          <w:rStyle w:val="FootnoteReference"/>
        </w:rPr>
        <w:footnoteRef/>
      </w:r>
      <w:r w:rsidRPr="004C425C">
        <w:t xml:space="preserve"> Hypothetical Case, para 4.</w:t>
      </w:r>
    </w:p>
  </w:footnote>
  <w:footnote w:id="6">
    <w:p w:rsidR="00271D38" w:rsidRPr="004C425C" w:rsidRDefault="00271D38" w:rsidP="00B81365">
      <w:pPr>
        <w:pStyle w:val="FootnoteText"/>
        <w:jc w:val="both"/>
      </w:pPr>
      <w:r w:rsidRPr="004C425C">
        <w:rPr>
          <w:rStyle w:val="FootnoteReference"/>
        </w:rPr>
        <w:footnoteRef/>
      </w:r>
      <w:r w:rsidRPr="004C425C">
        <w:t xml:space="preserve"> Hypothetical Case, para 7.</w:t>
      </w:r>
    </w:p>
  </w:footnote>
  <w:footnote w:id="7">
    <w:p w:rsidR="00271D38" w:rsidRPr="000D19EF" w:rsidRDefault="00271D38" w:rsidP="00B81365">
      <w:pPr>
        <w:pStyle w:val="FootnoteText"/>
        <w:jc w:val="both"/>
      </w:pPr>
      <w:r w:rsidRPr="004C425C">
        <w:rPr>
          <w:rStyle w:val="FootnoteReference"/>
        </w:rPr>
        <w:footnoteRef/>
      </w:r>
      <w:r w:rsidRPr="004C425C">
        <w:t xml:space="preserve"> Hypothetical Case, para 8.</w:t>
      </w:r>
    </w:p>
  </w:footnote>
  <w:footnote w:id="8">
    <w:p w:rsidR="00271D38" w:rsidRPr="00F21C63" w:rsidRDefault="00271D38" w:rsidP="00B81365">
      <w:pPr>
        <w:pStyle w:val="FootnoteText"/>
        <w:jc w:val="both"/>
      </w:pPr>
      <w:r w:rsidRPr="00F21C63">
        <w:rPr>
          <w:rStyle w:val="FootnoteReference"/>
        </w:rPr>
        <w:footnoteRef/>
      </w:r>
      <w:r>
        <w:t xml:space="preserve"> Hypothetical Case, </w:t>
      </w:r>
      <w:r w:rsidRPr="00F21C63">
        <w:t>para 8.</w:t>
      </w:r>
    </w:p>
  </w:footnote>
  <w:footnote w:id="9">
    <w:p w:rsidR="00271D38" w:rsidRPr="00F21C63" w:rsidRDefault="00271D38" w:rsidP="00BE7256">
      <w:pPr>
        <w:pStyle w:val="FootnoteText"/>
        <w:jc w:val="both"/>
      </w:pPr>
      <w:r w:rsidRPr="00F21C63">
        <w:rPr>
          <w:rStyle w:val="FootnoteReference"/>
        </w:rPr>
        <w:footnoteRef/>
      </w:r>
      <w:r w:rsidRPr="00F21C63">
        <w:t xml:space="preserve"> </w:t>
      </w:r>
      <w:r>
        <w:t xml:space="preserve"> </w:t>
      </w:r>
      <w:r w:rsidRPr="00F21C63">
        <w:t>Hypothetical Case, para 10.</w:t>
      </w:r>
    </w:p>
  </w:footnote>
  <w:footnote w:id="10">
    <w:p w:rsidR="00271D38" w:rsidRPr="00F21C63" w:rsidRDefault="00271D38" w:rsidP="00B81365">
      <w:pPr>
        <w:pStyle w:val="FootnoteText"/>
        <w:jc w:val="both"/>
      </w:pPr>
      <w:r w:rsidRPr="00F21C63">
        <w:rPr>
          <w:rStyle w:val="FootnoteReference"/>
        </w:rPr>
        <w:footnoteRef/>
      </w:r>
      <w:r w:rsidRPr="00F21C63">
        <w:t xml:space="preserve"> Hypothetical Case, para 10.</w:t>
      </w:r>
    </w:p>
  </w:footnote>
  <w:footnote w:id="11">
    <w:p w:rsidR="00271D38" w:rsidRPr="00F21C63" w:rsidRDefault="00271D38" w:rsidP="00B81365">
      <w:pPr>
        <w:pStyle w:val="FootnoteText"/>
        <w:jc w:val="both"/>
      </w:pPr>
      <w:r w:rsidRPr="00F21C63">
        <w:rPr>
          <w:rStyle w:val="FootnoteReference"/>
        </w:rPr>
        <w:footnoteRef/>
      </w:r>
      <w:r w:rsidRPr="00F21C63">
        <w:t xml:space="preserve"> Hypothetical Case, para 11.</w:t>
      </w:r>
    </w:p>
  </w:footnote>
  <w:footnote w:id="12">
    <w:p w:rsidR="00271D38" w:rsidRPr="00F21C63" w:rsidRDefault="00271D38" w:rsidP="00B81365">
      <w:pPr>
        <w:pStyle w:val="FootnoteText"/>
        <w:jc w:val="both"/>
      </w:pPr>
      <w:r w:rsidRPr="00F21C63">
        <w:rPr>
          <w:rStyle w:val="FootnoteReference"/>
        </w:rPr>
        <w:footnoteRef/>
      </w:r>
      <w:r w:rsidRPr="00F21C63">
        <w:t xml:space="preserve"> Hypothetical Case, para 11.</w:t>
      </w:r>
    </w:p>
  </w:footnote>
  <w:footnote w:id="13">
    <w:p w:rsidR="00271D38" w:rsidRPr="00F21C63" w:rsidRDefault="00271D38" w:rsidP="00B81365">
      <w:pPr>
        <w:pStyle w:val="FootnoteText"/>
        <w:jc w:val="both"/>
      </w:pPr>
      <w:r w:rsidRPr="00F21C63">
        <w:rPr>
          <w:rStyle w:val="FootnoteReference"/>
        </w:rPr>
        <w:footnoteRef/>
      </w:r>
      <w:r w:rsidRPr="00F21C63">
        <w:t xml:space="preserve"> Hypothetical Case, para 12.</w:t>
      </w:r>
    </w:p>
  </w:footnote>
  <w:footnote w:id="14">
    <w:p w:rsidR="00271D38" w:rsidRPr="00F21C63" w:rsidRDefault="00271D38" w:rsidP="00B81365">
      <w:pPr>
        <w:pStyle w:val="FootnoteText"/>
        <w:jc w:val="both"/>
      </w:pPr>
      <w:r w:rsidRPr="00F21C63">
        <w:rPr>
          <w:rStyle w:val="FootnoteReference"/>
        </w:rPr>
        <w:footnoteRef/>
      </w:r>
      <w:r w:rsidRPr="00F21C63">
        <w:t xml:space="preserve"> Hypothetical Case, para 12.</w:t>
      </w:r>
    </w:p>
  </w:footnote>
  <w:footnote w:id="15">
    <w:p w:rsidR="00271D38" w:rsidRPr="00F21C63" w:rsidRDefault="00271D38" w:rsidP="00B81365">
      <w:pPr>
        <w:pStyle w:val="FootnoteText"/>
        <w:jc w:val="both"/>
      </w:pPr>
      <w:r w:rsidRPr="00F21C63">
        <w:rPr>
          <w:rStyle w:val="FootnoteReference"/>
        </w:rPr>
        <w:footnoteRef/>
      </w:r>
      <w:r w:rsidRPr="00F21C63">
        <w:t xml:space="preserve"> Hypothetical Case, para 13.</w:t>
      </w:r>
    </w:p>
  </w:footnote>
  <w:footnote w:id="16">
    <w:p w:rsidR="00271D38" w:rsidRPr="00F21C63" w:rsidRDefault="00271D38" w:rsidP="00B81365">
      <w:pPr>
        <w:pStyle w:val="FootnoteText"/>
        <w:jc w:val="both"/>
      </w:pPr>
      <w:r w:rsidRPr="00F21C63">
        <w:rPr>
          <w:rStyle w:val="FootnoteReference"/>
        </w:rPr>
        <w:footnoteRef/>
      </w:r>
      <w:r w:rsidRPr="00F21C63">
        <w:t xml:space="preserve"> Hypothetical Case, para 14.</w:t>
      </w:r>
    </w:p>
  </w:footnote>
  <w:footnote w:id="17">
    <w:p w:rsidR="00271D38" w:rsidRDefault="00271D38" w:rsidP="00B81365">
      <w:pPr>
        <w:pStyle w:val="FootnoteText"/>
        <w:jc w:val="both"/>
      </w:pPr>
      <w:r w:rsidRPr="00F21C63">
        <w:rPr>
          <w:rStyle w:val="FootnoteReference"/>
        </w:rPr>
        <w:footnoteRef/>
      </w:r>
      <w:r w:rsidRPr="00F21C63">
        <w:t xml:space="preserve"> Hypothetical Case, para</w:t>
      </w:r>
      <w:r>
        <w:t>s 15 &amp;</w:t>
      </w:r>
      <w:r w:rsidRPr="00F21C63">
        <w:t xml:space="preserve"> 16.</w:t>
      </w:r>
    </w:p>
  </w:footnote>
  <w:footnote w:id="18">
    <w:p w:rsidR="00271D38" w:rsidRPr="00E75CE0" w:rsidRDefault="00271D38" w:rsidP="00B81365">
      <w:pPr>
        <w:pStyle w:val="FootnoteText"/>
        <w:jc w:val="both"/>
      </w:pPr>
      <w:r w:rsidRPr="00E75CE0">
        <w:rPr>
          <w:rStyle w:val="FootnoteReference"/>
        </w:rPr>
        <w:footnoteRef/>
      </w:r>
      <w:r w:rsidRPr="00E75CE0">
        <w:t xml:space="preserve"> Hypothetical Case, para 17.</w:t>
      </w:r>
    </w:p>
  </w:footnote>
  <w:footnote w:id="19">
    <w:p w:rsidR="00271D38" w:rsidRPr="00E75CE0" w:rsidRDefault="00271D38" w:rsidP="00B81365">
      <w:pPr>
        <w:pStyle w:val="FootnoteText"/>
        <w:jc w:val="both"/>
      </w:pPr>
      <w:r w:rsidRPr="00E75CE0">
        <w:rPr>
          <w:rStyle w:val="FootnoteReference"/>
        </w:rPr>
        <w:footnoteRef/>
      </w:r>
      <w:r w:rsidRPr="00E75CE0">
        <w:t xml:space="preserve"> Hypothetical Case, para 17</w:t>
      </w:r>
      <w:r>
        <w:t>.</w:t>
      </w:r>
    </w:p>
  </w:footnote>
  <w:footnote w:id="20">
    <w:p w:rsidR="00271D38" w:rsidRPr="00E75CE0" w:rsidRDefault="00271D38" w:rsidP="00B81365">
      <w:pPr>
        <w:pStyle w:val="FootnoteText"/>
        <w:jc w:val="both"/>
      </w:pPr>
      <w:r w:rsidRPr="00E75CE0">
        <w:rPr>
          <w:rStyle w:val="FootnoteReference"/>
        </w:rPr>
        <w:footnoteRef/>
      </w:r>
      <w:r w:rsidRPr="00E75CE0">
        <w:t xml:space="preserve"> Hypothetical Case, para 18.</w:t>
      </w:r>
    </w:p>
  </w:footnote>
  <w:footnote w:id="21">
    <w:p w:rsidR="00271D38" w:rsidRPr="00E75CE0" w:rsidRDefault="00271D38" w:rsidP="00B81365">
      <w:pPr>
        <w:pStyle w:val="FootnoteText"/>
        <w:jc w:val="both"/>
      </w:pPr>
      <w:r w:rsidRPr="00E75CE0">
        <w:rPr>
          <w:rStyle w:val="FootnoteReference"/>
        </w:rPr>
        <w:footnoteRef/>
      </w:r>
      <w:r w:rsidRPr="00E75CE0">
        <w:t xml:space="preserve"> Hypothetical Case, para 19.</w:t>
      </w:r>
    </w:p>
  </w:footnote>
  <w:footnote w:id="22">
    <w:p w:rsidR="00271D38" w:rsidRPr="00E75CE0" w:rsidRDefault="00271D38" w:rsidP="00BD5E7C">
      <w:pPr>
        <w:pStyle w:val="FootnoteText"/>
        <w:jc w:val="both"/>
      </w:pPr>
      <w:r w:rsidRPr="00E75CE0">
        <w:rPr>
          <w:rStyle w:val="FootnoteReference"/>
        </w:rPr>
        <w:footnoteRef/>
      </w:r>
      <w:r w:rsidRPr="00E75CE0">
        <w:t xml:space="preserve"> Hypothetical Case, paras 19 &amp; 20.</w:t>
      </w:r>
    </w:p>
  </w:footnote>
  <w:footnote w:id="23">
    <w:p w:rsidR="00271D38" w:rsidRDefault="00271D38" w:rsidP="00BD5E7C">
      <w:pPr>
        <w:pStyle w:val="FootnoteText"/>
        <w:jc w:val="both"/>
      </w:pPr>
      <w:r>
        <w:rPr>
          <w:rStyle w:val="FootnoteReference"/>
        </w:rPr>
        <w:footnoteRef/>
      </w:r>
      <w:r>
        <w:t xml:space="preserve"> Hypothetical Case, para 21.</w:t>
      </w:r>
    </w:p>
  </w:footnote>
  <w:footnote w:id="24">
    <w:p w:rsidR="00271D38" w:rsidRPr="00E75CE0" w:rsidRDefault="00271D38" w:rsidP="00BD5E7C">
      <w:pPr>
        <w:pStyle w:val="FootnoteText"/>
        <w:jc w:val="both"/>
      </w:pPr>
      <w:r w:rsidRPr="00E75CE0">
        <w:rPr>
          <w:rStyle w:val="FootnoteReference"/>
        </w:rPr>
        <w:footnoteRef/>
      </w:r>
      <w:r w:rsidRPr="00E75CE0">
        <w:t xml:space="preserve"> Hypothetical Case, para 21.</w:t>
      </w:r>
    </w:p>
  </w:footnote>
  <w:footnote w:id="25">
    <w:p w:rsidR="00271D38" w:rsidRPr="00E75CE0" w:rsidRDefault="00271D38" w:rsidP="00BD5E7C">
      <w:pPr>
        <w:pStyle w:val="FootnoteText"/>
        <w:jc w:val="both"/>
      </w:pPr>
      <w:r w:rsidRPr="00E75CE0">
        <w:rPr>
          <w:rStyle w:val="FootnoteReference"/>
        </w:rPr>
        <w:footnoteRef/>
      </w:r>
      <w:r w:rsidRPr="00E75CE0">
        <w:t xml:space="preserve"> Hypothetical Case, para 22.</w:t>
      </w:r>
    </w:p>
  </w:footnote>
  <w:footnote w:id="26">
    <w:p w:rsidR="00271D38" w:rsidRPr="00E75CE0" w:rsidRDefault="00271D38" w:rsidP="00BD5E7C">
      <w:pPr>
        <w:pStyle w:val="FootnoteText"/>
        <w:jc w:val="both"/>
      </w:pPr>
      <w:r w:rsidRPr="00E75CE0">
        <w:rPr>
          <w:rStyle w:val="FootnoteReference"/>
        </w:rPr>
        <w:footnoteRef/>
      </w:r>
      <w:r w:rsidRPr="00E75CE0">
        <w:t xml:space="preserve"> Hypothetical Case, paras 17 &amp; 23.</w:t>
      </w:r>
    </w:p>
  </w:footnote>
  <w:footnote w:id="27">
    <w:p w:rsidR="00271D38" w:rsidRPr="00E75CE0" w:rsidRDefault="00271D38" w:rsidP="00BD5E7C">
      <w:pPr>
        <w:pStyle w:val="FootnoteText"/>
        <w:jc w:val="both"/>
      </w:pPr>
      <w:r w:rsidRPr="00E75CE0">
        <w:rPr>
          <w:rStyle w:val="FootnoteReference"/>
        </w:rPr>
        <w:footnoteRef/>
      </w:r>
      <w:r w:rsidRPr="00E75CE0">
        <w:t xml:space="preserve"> Hypothetical Case, para 24.</w:t>
      </w:r>
    </w:p>
  </w:footnote>
  <w:footnote w:id="28">
    <w:p w:rsidR="00271D38" w:rsidRPr="00E75CE0" w:rsidRDefault="00271D38" w:rsidP="00B81365">
      <w:pPr>
        <w:pStyle w:val="FootnoteText"/>
        <w:jc w:val="both"/>
      </w:pPr>
      <w:r w:rsidRPr="00E75CE0">
        <w:rPr>
          <w:rStyle w:val="FootnoteReference"/>
        </w:rPr>
        <w:footnoteRef/>
      </w:r>
      <w:r>
        <w:t xml:space="preserve"> Hypothetical Case, </w:t>
      </w:r>
      <w:r w:rsidRPr="00E75CE0">
        <w:t>para 25</w:t>
      </w:r>
      <w:r>
        <w:t>.</w:t>
      </w:r>
    </w:p>
  </w:footnote>
  <w:footnote w:id="29">
    <w:p w:rsidR="00271D38" w:rsidRPr="00182EBF" w:rsidRDefault="00271D38" w:rsidP="00B81365">
      <w:pPr>
        <w:pStyle w:val="FootnoteText"/>
        <w:jc w:val="both"/>
      </w:pPr>
      <w:r w:rsidRPr="00182EBF">
        <w:rPr>
          <w:rStyle w:val="FootnoteReference"/>
        </w:rPr>
        <w:footnoteRef/>
      </w:r>
      <w:r>
        <w:t xml:space="preserve"> Hypothetical Case, </w:t>
      </w:r>
      <w:r w:rsidRPr="00182EBF">
        <w:t>para 26.</w:t>
      </w:r>
    </w:p>
  </w:footnote>
  <w:footnote w:id="30">
    <w:p w:rsidR="00271D38" w:rsidRPr="00182EBF" w:rsidRDefault="00271D38" w:rsidP="00B81365">
      <w:pPr>
        <w:pStyle w:val="FootnoteText"/>
        <w:jc w:val="both"/>
      </w:pPr>
      <w:r w:rsidRPr="00182EBF">
        <w:rPr>
          <w:rStyle w:val="FootnoteReference"/>
        </w:rPr>
        <w:footnoteRef/>
      </w:r>
      <w:r w:rsidRPr="00182EBF">
        <w:t xml:space="preserve"> Hypothetic</w:t>
      </w:r>
      <w:r>
        <w:t xml:space="preserve">al Case, </w:t>
      </w:r>
      <w:r w:rsidRPr="00182EBF">
        <w:t>para 27.</w:t>
      </w:r>
    </w:p>
  </w:footnote>
  <w:footnote w:id="31">
    <w:p w:rsidR="00271D38" w:rsidRPr="00182EBF" w:rsidRDefault="00271D38" w:rsidP="00B81365">
      <w:pPr>
        <w:pStyle w:val="FootnoteText"/>
        <w:jc w:val="both"/>
      </w:pPr>
      <w:r w:rsidRPr="00182EBF">
        <w:rPr>
          <w:rStyle w:val="FootnoteReference"/>
        </w:rPr>
        <w:footnoteRef/>
      </w:r>
      <w:r>
        <w:t xml:space="preserve"> Hypothetical Case, </w:t>
      </w:r>
      <w:r w:rsidRPr="00182EBF">
        <w:t>para 28</w:t>
      </w:r>
      <w:r>
        <w:t>.</w:t>
      </w:r>
    </w:p>
  </w:footnote>
  <w:footnote w:id="32">
    <w:p w:rsidR="00271D38" w:rsidRPr="00182EBF" w:rsidRDefault="00271D38" w:rsidP="00B81365">
      <w:pPr>
        <w:pStyle w:val="FootnoteText"/>
        <w:jc w:val="both"/>
      </w:pPr>
      <w:r w:rsidRPr="00182EBF">
        <w:rPr>
          <w:rStyle w:val="FootnoteReference"/>
        </w:rPr>
        <w:footnoteRef/>
      </w:r>
      <w:r>
        <w:t xml:space="preserve"> Hypothetical Case, </w:t>
      </w:r>
      <w:r w:rsidRPr="00182EBF">
        <w:t>para 29.</w:t>
      </w:r>
    </w:p>
  </w:footnote>
  <w:footnote w:id="33">
    <w:p w:rsidR="00271D38" w:rsidRPr="00E83C62" w:rsidRDefault="00271D38" w:rsidP="00B81365">
      <w:pPr>
        <w:pStyle w:val="FootnoteText"/>
        <w:jc w:val="both"/>
      </w:pPr>
      <w:r w:rsidRPr="00182EBF">
        <w:rPr>
          <w:rStyle w:val="FootnoteReference"/>
        </w:rPr>
        <w:footnoteRef/>
      </w:r>
      <w:r w:rsidRPr="00182EBF">
        <w:t xml:space="preserve"> Hypothetical Case, para 31.</w:t>
      </w:r>
    </w:p>
  </w:footnote>
  <w:footnote w:id="34">
    <w:p w:rsidR="00271D38" w:rsidRPr="00182EBF" w:rsidRDefault="00271D38" w:rsidP="00B81365">
      <w:pPr>
        <w:pStyle w:val="FootnoteText"/>
        <w:jc w:val="both"/>
      </w:pPr>
      <w:r w:rsidRPr="00182EBF">
        <w:rPr>
          <w:rStyle w:val="FootnoteReference"/>
        </w:rPr>
        <w:footnoteRef/>
      </w:r>
      <w:r>
        <w:t xml:space="preserve"> Hypothetical Case, </w:t>
      </w:r>
      <w:r w:rsidRPr="00182EBF">
        <w:t>para 32.</w:t>
      </w:r>
    </w:p>
  </w:footnote>
  <w:footnote w:id="35">
    <w:p w:rsidR="00271D38" w:rsidRPr="00182EBF" w:rsidRDefault="00271D38" w:rsidP="00B81365">
      <w:pPr>
        <w:pStyle w:val="FootnoteText"/>
        <w:jc w:val="both"/>
      </w:pPr>
      <w:r w:rsidRPr="00182EBF">
        <w:rPr>
          <w:rStyle w:val="FootnoteReference"/>
        </w:rPr>
        <w:footnoteRef/>
      </w:r>
      <w:r w:rsidRPr="00182EBF">
        <w:t xml:space="preserve"> Hypothetical Case, para 33.</w:t>
      </w:r>
    </w:p>
  </w:footnote>
  <w:footnote w:id="36">
    <w:p w:rsidR="00271D38" w:rsidRPr="00182EBF" w:rsidRDefault="00271D38" w:rsidP="00B81365">
      <w:pPr>
        <w:pStyle w:val="FootnoteText"/>
        <w:jc w:val="both"/>
      </w:pPr>
      <w:r w:rsidRPr="00182EBF">
        <w:rPr>
          <w:rStyle w:val="FootnoteReference"/>
        </w:rPr>
        <w:footnoteRef/>
      </w:r>
      <w:r w:rsidRPr="00182EBF">
        <w:t xml:space="preserve"> Hypothetical Case, para 34.</w:t>
      </w:r>
    </w:p>
  </w:footnote>
  <w:footnote w:id="37">
    <w:p w:rsidR="00271D38" w:rsidRPr="00182EBF" w:rsidRDefault="00271D38" w:rsidP="00B81365">
      <w:pPr>
        <w:pStyle w:val="FootnoteText"/>
        <w:jc w:val="both"/>
      </w:pPr>
      <w:r w:rsidRPr="00182EBF">
        <w:rPr>
          <w:rStyle w:val="FootnoteReference"/>
        </w:rPr>
        <w:footnoteRef/>
      </w:r>
      <w:r w:rsidRPr="00182EBF">
        <w:t xml:space="preserve"> Hypothetical Case, para 35.</w:t>
      </w:r>
    </w:p>
  </w:footnote>
  <w:footnote w:id="38">
    <w:p w:rsidR="00271D38" w:rsidRPr="00E83C62" w:rsidRDefault="00271D38" w:rsidP="00B81365">
      <w:pPr>
        <w:pStyle w:val="FootnoteText"/>
        <w:jc w:val="both"/>
      </w:pPr>
      <w:r w:rsidRPr="00182EBF">
        <w:rPr>
          <w:rStyle w:val="FootnoteReference"/>
        </w:rPr>
        <w:footnoteRef/>
      </w:r>
      <w:r w:rsidRPr="00182EBF">
        <w:t xml:space="preserve"> Hypothetical Case, para 36.</w:t>
      </w:r>
    </w:p>
  </w:footnote>
  <w:footnote w:id="39">
    <w:p w:rsidR="00271D38" w:rsidRPr="00182EBF" w:rsidRDefault="00271D38" w:rsidP="00B81365">
      <w:pPr>
        <w:pStyle w:val="FootnoteText"/>
        <w:jc w:val="both"/>
      </w:pPr>
      <w:r w:rsidRPr="00182EBF">
        <w:rPr>
          <w:rStyle w:val="FootnoteReference"/>
        </w:rPr>
        <w:footnoteRef/>
      </w:r>
      <w:r w:rsidRPr="00182EBF">
        <w:t xml:space="preserve"> Hypothetical Case, para 38.</w:t>
      </w:r>
    </w:p>
  </w:footnote>
  <w:footnote w:id="40">
    <w:p w:rsidR="00271D38" w:rsidRPr="00182EBF" w:rsidRDefault="00271D38" w:rsidP="00B81365">
      <w:pPr>
        <w:pStyle w:val="FootnoteText"/>
        <w:jc w:val="both"/>
      </w:pPr>
      <w:r w:rsidRPr="00182EBF">
        <w:rPr>
          <w:rStyle w:val="FootnoteReference"/>
        </w:rPr>
        <w:footnoteRef/>
      </w:r>
      <w:r w:rsidRPr="00182EBF">
        <w:t xml:space="preserve"> Hypothetical Case, para 39.</w:t>
      </w:r>
    </w:p>
  </w:footnote>
  <w:footnote w:id="41">
    <w:p w:rsidR="00271D38" w:rsidRPr="00D45C07" w:rsidRDefault="00271D38" w:rsidP="00B81365">
      <w:pPr>
        <w:pStyle w:val="FootnoteText"/>
        <w:jc w:val="both"/>
      </w:pPr>
      <w:r w:rsidRPr="00D45C07">
        <w:rPr>
          <w:rStyle w:val="FootnoteReference"/>
        </w:rPr>
        <w:footnoteRef/>
      </w:r>
      <w:r w:rsidRPr="00D45C07">
        <w:t xml:space="preserve"> Hypothetical Case, para</w:t>
      </w:r>
      <w:r>
        <w:t>s 40 &amp;</w:t>
      </w:r>
      <w:r w:rsidRPr="00D45C07">
        <w:t xml:space="preserve"> 41.</w:t>
      </w:r>
    </w:p>
  </w:footnote>
  <w:footnote w:id="42">
    <w:p w:rsidR="00271D38" w:rsidRPr="00D45C07" w:rsidRDefault="00271D38" w:rsidP="00B81365">
      <w:pPr>
        <w:pStyle w:val="FootnoteText"/>
        <w:jc w:val="both"/>
      </w:pPr>
      <w:r w:rsidRPr="00D45C07">
        <w:rPr>
          <w:rStyle w:val="FootnoteReference"/>
        </w:rPr>
        <w:footnoteRef/>
      </w:r>
      <w:r w:rsidRPr="00D45C07">
        <w:t xml:space="preserve"> Hypothetical Case, para 42.</w:t>
      </w:r>
    </w:p>
  </w:footnote>
  <w:footnote w:id="43">
    <w:p w:rsidR="00271D38" w:rsidRPr="00D45C07" w:rsidRDefault="00271D38" w:rsidP="00B81365">
      <w:pPr>
        <w:pStyle w:val="FootnoteText"/>
        <w:jc w:val="both"/>
      </w:pPr>
      <w:r w:rsidRPr="00D45C07">
        <w:rPr>
          <w:rStyle w:val="FootnoteReference"/>
        </w:rPr>
        <w:footnoteRef/>
      </w:r>
      <w:r w:rsidRPr="00D45C07">
        <w:t xml:space="preserve"> Hypothetical Case, para 42.</w:t>
      </w:r>
    </w:p>
  </w:footnote>
  <w:footnote w:id="44">
    <w:p w:rsidR="00271D38" w:rsidRPr="00D45C07" w:rsidRDefault="00271D38" w:rsidP="00B81365">
      <w:pPr>
        <w:pStyle w:val="FootnoteText"/>
        <w:jc w:val="both"/>
      </w:pPr>
      <w:r w:rsidRPr="00D45C07">
        <w:rPr>
          <w:rStyle w:val="FootnoteReference"/>
        </w:rPr>
        <w:footnoteRef/>
      </w:r>
      <w:r w:rsidRPr="00D45C07">
        <w:t xml:space="preserve"> Hypothetical Case, para 43.</w:t>
      </w:r>
    </w:p>
  </w:footnote>
  <w:footnote w:id="45">
    <w:p w:rsidR="00271D38" w:rsidRPr="00D45C07" w:rsidRDefault="00271D38" w:rsidP="00B81365">
      <w:pPr>
        <w:pStyle w:val="FootnoteText"/>
        <w:jc w:val="both"/>
      </w:pPr>
      <w:r w:rsidRPr="00D45C07">
        <w:rPr>
          <w:rStyle w:val="FootnoteReference"/>
        </w:rPr>
        <w:footnoteRef/>
      </w:r>
      <w:r w:rsidRPr="00D45C07">
        <w:t xml:space="preserve"> Hypothetical Case, para 44.</w:t>
      </w:r>
    </w:p>
  </w:footnote>
  <w:footnote w:id="46">
    <w:p w:rsidR="00271D38" w:rsidRPr="00D45C07" w:rsidRDefault="00271D38" w:rsidP="00B81365">
      <w:pPr>
        <w:pStyle w:val="FootnoteText"/>
        <w:jc w:val="both"/>
      </w:pPr>
      <w:r w:rsidRPr="00D45C07">
        <w:rPr>
          <w:rStyle w:val="FootnoteReference"/>
        </w:rPr>
        <w:footnoteRef/>
      </w:r>
      <w:r w:rsidRPr="00D45C07">
        <w:t xml:space="preserve"> Hypothetical Case, paras 45 &amp; 46.</w:t>
      </w:r>
    </w:p>
  </w:footnote>
  <w:footnote w:id="47">
    <w:p w:rsidR="00271D38" w:rsidRPr="00D45C07" w:rsidRDefault="00271D38" w:rsidP="00B81365">
      <w:pPr>
        <w:pStyle w:val="FootnoteText"/>
        <w:jc w:val="both"/>
      </w:pPr>
      <w:r w:rsidRPr="00D45C07">
        <w:rPr>
          <w:rStyle w:val="FootnoteReference"/>
        </w:rPr>
        <w:footnoteRef/>
      </w:r>
      <w:r w:rsidRPr="00D45C07">
        <w:t xml:space="preserve"> Hypothetical Case, para 46.</w:t>
      </w:r>
    </w:p>
  </w:footnote>
  <w:footnote w:id="48">
    <w:p w:rsidR="00271D38" w:rsidRPr="00182EBF" w:rsidRDefault="00271D38" w:rsidP="00B81365">
      <w:pPr>
        <w:pStyle w:val="FootnoteText"/>
        <w:jc w:val="both"/>
      </w:pPr>
      <w:r w:rsidRPr="00D45C07">
        <w:rPr>
          <w:rStyle w:val="FootnoteReference"/>
        </w:rPr>
        <w:footnoteRef/>
      </w:r>
      <w:r w:rsidRPr="00D45C07">
        <w:t xml:space="preserve"> Hypothetical Case, para 47.</w:t>
      </w:r>
    </w:p>
  </w:footnote>
  <w:footnote w:id="49">
    <w:p w:rsidR="00271D38" w:rsidRPr="00D45C07" w:rsidRDefault="00271D38" w:rsidP="00B81365">
      <w:pPr>
        <w:pStyle w:val="FootnoteText"/>
        <w:jc w:val="both"/>
      </w:pPr>
      <w:r w:rsidRPr="00D45C07">
        <w:rPr>
          <w:rStyle w:val="FootnoteReference"/>
        </w:rPr>
        <w:footnoteRef/>
      </w:r>
      <w:r w:rsidRPr="00D45C07">
        <w:t xml:space="preserve"> Hypothetical Case, para 48.</w:t>
      </w:r>
    </w:p>
  </w:footnote>
  <w:footnote w:id="50">
    <w:p w:rsidR="00271D38" w:rsidRPr="00D45C07" w:rsidRDefault="00271D38" w:rsidP="00B81365">
      <w:pPr>
        <w:pStyle w:val="FootnoteText"/>
        <w:jc w:val="both"/>
      </w:pPr>
      <w:r w:rsidRPr="00D45C07">
        <w:rPr>
          <w:rStyle w:val="FootnoteReference"/>
        </w:rPr>
        <w:footnoteRef/>
      </w:r>
      <w:r w:rsidRPr="00D45C07">
        <w:t xml:space="preserve"> Hypothetical Case, para 50.</w:t>
      </w:r>
    </w:p>
  </w:footnote>
  <w:footnote w:id="51">
    <w:p w:rsidR="00271D38" w:rsidRPr="003A2900" w:rsidRDefault="00271D38" w:rsidP="003A2900">
      <w:pPr>
        <w:pStyle w:val="FootnoteText"/>
        <w:jc w:val="both"/>
      </w:pPr>
      <w:r w:rsidRPr="003A2900">
        <w:rPr>
          <w:rStyle w:val="FootnoteReference"/>
        </w:rPr>
        <w:footnoteRef/>
      </w:r>
      <w:r w:rsidRPr="003A2900">
        <w:t xml:space="preserve"> Hypothetical Case, para 50.</w:t>
      </w:r>
    </w:p>
  </w:footnote>
  <w:footnote w:id="52">
    <w:p w:rsidR="00271D38" w:rsidRPr="003A2900" w:rsidRDefault="00271D38" w:rsidP="003A2900">
      <w:pPr>
        <w:pStyle w:val="FootnoteText"/>
        <w:jc w:val="both"/>
      </w:pPr>
      <w:r w:rsidRPr="003A2900">
        <w:rPr>
          <w:rStyle w:val="FootnoteReference"/>
        </w:rPr>
        <w:footnoteRef/>
      </w:r>
      <w:r w:rsidRPr="003A2900">
        <w:t xml:space="preserve"> Hypothetical Case, para 51.</w:t>
      </w:r>
    </w:p>
  </w:footnote>
  <w:footnote w:id="53">
    <w:p w:rsidR="00271D38" w:rsidRPr="003A2900" w:rsidRDefault="00271D38" w:rsidP="003A2900">
      <w:pPr>
        <w:pStyle w:val="FootnoteText"/>
        <w:jc w:val="both"/>
      </w:pPr>
      <w:r w:rsidRPr="003A2900">
        <w:rPr>
          <w:rStyle w:val="FootnoteReference"/>
        </w:rPr>
        <w:footnoteRef/>
      </w:r>
      <w:r w:rsidRPr="003A2900">
        <w:t xml:space="preserve"> Hypothetical Case, para 51.</w:t>
      </w:r>
    </w:p>
  </w:footnote>
  <w:footnote w:id="54">
    <w:p w:rsidR="00271D38" w:rsidRPr="003A2900" w:rsidRDefault="00271D38" w:rsidP="003A2900">
      <w:pPr>
        <w:pStyle w:val="FootnoteText"/>
        <w:jc w:val="both"/>
      </w:pPr>
      <w:r w:rsidRPr="003A2900">
        <w:rPr>
          <w:rStyle w:val="FootnoteReference"/>
        </w:rPr>
        <w:footnoteRef/>
      </w:r>
      <w:r w:rsidRPr="003A2900">
        <w:t xml:space="preserve"> Hypothetical Case, para 49.</w:t>
      </w:r>
    </w:p>
  </w:footnote>
  <w:footnote w:id="55">
    <w:p w:rsidR="00271D38" w:rsidRPr="003A2900" w:rsidRDefault="00271D38" w:rsidP="003A2900">
      <w:pPr>
        <w:pStyle w:val="FootnoteText"/>
        <w:jc w:val="both"/>
      </w:pPr>
      <w:r w:rsidRPr="003A2900">
        <w:rPr>
          <w:rStyle w:val="FootnoteReference"/>
        </w:rPr>
        <w:footnoteRef/>
      </w:r>
      <w:r w:rsidRPr="003A2900">
        <w:t xml:space="preserve"> Hypothetical Case, para 52.</w:t>
      </w:r>
    </w:p>
  </w:footnote>
  <w:footnote w:id="56">
    <w:p w:rsidR="00271D38" w:rsidRPr="003A2900" w:rsidRDefault="00271D38" w:rsidP="004879A9">
      <w:pPr>
        <w:pStyle w:val="FootnoteText"/>
        <w:ind w:left="284" w:hanging="284"/>
        <w:jc w:val="both"/>
      </w:pPr>
      <w:r w:rsidRPr="003A2900">
        <w:rPr>
          <w:rStyle w:val="FootnoteReference"/>
        </w:rPr>
        <w:footnoteRef/>
      </w:r>
      <w:r w:rsidRPr="003A2900">
        <w:t xml:space="preserve"> Organization of American States (OAS), </w:t>
      </w:r>
      <w:r w:rsidRPr="003A2900">
        <w:rPr>
          <w:i/>
          <w:iCs/>
        </w:rPr>
        <w:t>American Convention on Human Rights, "Pact of San Jose", Costa Rica</w:t>
      </w:r>
      <w:r w:rsidRPr="003A2900">
        <w:t>, 22 November 1969.</w:t>
      </w:r>
    </w:p>
  </w:footnote>
  <w:footnote w:id="57">
    <w:p w:rsidR="00271D38" w:rsidRPr="003A2900" w:rsidRDefault="00271D38" w:rsidP="003A2900">
      <w:pPr>
        <w:pStyle w:val="FootnoteText"/>
        <w:jc w:val="both"/>
      </w:pPr>
      <w:r w:rsidRPr="003A2900">
        <w:rPr>
          <w:rStyle w:val="FootnoteReference"/>
        </w:rPr>
        <w:footnoteRef/>
      </w:r>
      <w:r>
        <w:t xml:space="preserve"> Hypothetical Case, </w:t>
      </w:r>
      <w:r w:rsidRPr="003A2900">
        <w:t xml:space="preserve">para 9. </w:t>
      </w:r>
    </w:p>
  </w:footnote>
  <w:footnote w:id="58">
    <w:p w:rsidR="00271D38" w:rsidRPr="003A2900" w:rsidRDefault="00271D38" w:rsidP="000E1FEF">
      <w:pPr>
        <w:pStyle w:val="FootnoteText"/>
        <w:ind w:left="284" w:hanging="284"/>
        <w:jc w:val="both"/>
      </w:pPr>
      <w:r w:rsidRPr="003A2900">
        <w:rPr>
          <w:rStyle w:val="FootnoteReference"/>
        </w:rPr>
        <w:footnoteRef/>
      </w:r>
      <w:r w:rsidRPr="003A2900">
        <w:t xml:space="preserve"> Organization of American States (OAS), </w:t>
      </w:r>
      <w:r w:rsidRPr="003A2900">
        <w:rPr>
          <w:i/>
          <w:iCs/>
        </w:rPr>
        <w:t>American Convention on Human Rights, "Pact of San Jose", Costa Rica</w:t>
      </w:r>
      <w:r w:rsidRPr="003A2900">
        <w:t>, 22 November 1969.</w:t>
      </w:r>
    </w:p>
  </w:footnote>
  <w:footnote w:id="59">
    <w:p w:rsidR="00271D38" w:rsidRPr="003A6EF4" w:rsidRDefault="00271D38" w:rsidP="003D6F32">
      <w:pPr>
        <w:pStyle w:val="FootnoteText"/>
        <w:jc w:val="both"/>
        <w:rPr>
          <w:color w:val="000000" w:themeColor="text1"/>
        </w:rPr>
      </w:pPr>
      <w:r w:rsidRPr="003A6EF4">
        <w:rPr>
          <w:rStyle w:val="FootnoteReference"/>
          <w:color w:val="000000" w:themeColor="text1"/>
        </w:rPr>
        <w:footnoteRef/>
      </w:r>
      <w:r w:rsidRPr="003A6EF4">
        <w:rPr>
          <w:color w:val="000000" w:themeColor="text1"/>
        </w:rPr>
        <w:t xml:space="preserve"> </w:t>
      </w:r>
      <w:r>
        <w:rPr>
          <w:color w:val="000000" w:themeColor="text1"/>
        </w:rPr>
        <w:t>Ibid.</w:t>
      </w:r>
    </w:p>
  </w:footnote>
  <w:footnote w:id="60">
    <w:p w:rsidR="00271D38" w:rsidRPr="003A6EF4" w:rsidRDefault="00271D38" w:rsidP="00C76BF8">
      <w:pPr>
        <w:pStyle w:val="FootnoteText"/>
        <w:jc w:val="both"/>
        <w:rPr>
          <w:color w:val="000000" w:themeColor="text1"/>
        </w:rPr>
      </w:pPr>
      <w:r w:rsidRPr="003A6EF4">
        <w:rPr>
          <w:rStyle w:val="FootnoteReference"/>
          <w:color w:val="000000" w:themeColor="text1"/>
        </w:rPr>
        <w:footnoteRef/>
      </w:r>
      <w:r w:rsidRPr="003A6EF4">
        <w:rPr>
          <w:color w:val="000000" w:themeColor="text1"/>
        </w:rPr>
        <w:t xml:space="preserve"> </w:t>
      </w:r>
      <w:r>
        <w:rPr>
          <w:color w:val="000000" w:themeColor="text1"/>
        </w:rPr>
        <w:t>Ibid.</w:t>
      </w:r>
    </w:p>
  </w:footnote>
  <w:footnote w:id="61">
    <w:p w:rsidR="00271D38" w:rsidRPr="003A6EF4" w:rsidRDefault="00271D38" w:rsidP="003D6F32">
      <w:pPr>
        <w:pStyle w:val="FootnoteText"/>
        <w:jc w:val="both"/>
        <w:rPr>
          <w:color w:val="000000" w:themeColor="text1"/>
        </w:rPr>
      </w:pPr>
      <w:r w:rsidRPr="003A6EF4">
        <w:rPr>
          <w:rStyle w:val="FootnoteReference"/>
          <w:color w:val="000000" w:themeColor="text1"/>
        </w:rPr>
        <w:footnoteRef/>
      </w:r>
      <w:r w:rsidRPr="003A6EF4">
        <w:rPr>
          <w:color w:val="000000" w:themeColor="text1"/>
        </w:rPr>
        <w:t xml:space="preserve"> Hypothetical Case, para 49.</w:t>
      </w:r>
    </w:p>
  </w:footnote>
  <w:footnote w:id="62">
    <w:p w:rsidR="00271D38" w:rsidRPr="003A6EF4" w:rsidRDefault="00271D38" w:rsidP="000E1FEF">
      <w:pPr>
        <w:pStyle w:val="FootnoteText"/>
        <w:ind w:left="284" w:hanging="284"/>
        <w:jc w:val="both"/>
        <w:rPr>
          <w:color w:val="000000" w:themeColor="text1"/>
        </w:rPr>
      </w:pPr>
      <w:r w:rsidRPr="003A6EF4">
        <w:rPr>
          <w:rStyle w:val="FootnoteReference"/>
          <w:color w:val="000000" w:themeColor="text1"/>
        </w:rPr>
        <w:footnoteRef/>
      </w:r>
      <w:r w:rsidRPr="003A6EF4">
        <w:rPr>
          <w:color w:val="000000" w:themeColor="text1"/>
        </w:rPr>
        <w:t xml:space="preserve"> </w:t>
      </w:r>
      <w:r w:rsidRPr="003A6EF4">
        <w:rPr>
          <w:i/>
          <w:color w:val="000000" w:themeColor="text1"/>
        </w:rPr>
        <w:t>Victor Saldaño v</w:t>
      </w:r>
      <w:r>
        <w:rPr>
          <w:i/>
          <w:color w:val="000000" w:themeColor="text1"/>
        </w:rPr>
        <w:t>.</w:t>
      </w:r>
      <w:r w:rsidRPr="003A6EF4">
        <w:rPr>
          <w:i/>
          <w:color w:val="000000" w:themeColor="text1"/>
        </w:rPr>
        <w:t xml:space="preserve"> Argentina</w:t>
      </w:r>
      <w:r w:rsidRPr="003A6EF4">
        <w:rPr>
          <w:color w:val="000000" w:themeColor="text1"/>
        </w:rPr>
        <w:t>, Petition, Report No. 38/99, Inter-Am. C.H.R., OEA/Ser.L/V/II.95 Do</w:t>
      </w:r>
      <w:r>
        <w:rPr>
          <w:color w:val="000000" w:themeColor="text1"/>
        </w:rPr>
        <w:t>c. 7 rev. at 289 (1998), para 17</w:t>
      </w:r>
      <w:r w:rsidRPr="003A6EF4">
        <w:rPr>
          <w:color w:val="000000" w:themeColor="text1"/>
        </w:rPr>
        <w:t xml:space="preserve">. </w:t>
      </w:r>
    </w:p>
  </w:footnote>
  <w:footnote w:id="63">
    <w:p w:rsidR="00271D38" w:rsidRPr="003A6EF4" w:rsidRDefault="00271D38" w:rsidP="000E1FEF">
      <w:pPr>
        <w:pStyle w:val="FootnoteText"/>
        <w:ind w:left="284" w:hanging="284"/>
        <w:jc w:val="both"/>
        <w:rPr>
          <w:color w:val="000000" w:themeColor="text1"/>
        </w:rPr>
      </w:pPr>
      <w:r w:rsidRPr="003A6EF4">
        <w:rPr>
          <w:rStyle w:val="FootnoteReference"/>
          <w:color w:val="000000" w:themeColor="text1"/>
        </w:rPr>
        <w:footnoteRef/>
      </w:r>
      <w:r w:rsidRPr="003A6EF4">
        <w:rPr>
          <w:color w:val="000000" w:themeColor="text1"/>
        </w:rPr>
        <w:t xml:space="preserve"> </w:t>
      </w:r>
      <w:r w:rsidRPr="003A6EF4">
        <w:rPr>
          <w:i/>
          <w:color w:val="000000" w:themeColor="text1"/>
        </w:rPr>
        <w:t>US Interdiction of Haitians on the High Seas</w:t>
      </w:r>
      <w:r w:rsidRPr="003A6EF4">
        <w:rPr>
          <w:color w:val="000000" w:themeColor="text1"/>
        </w:rPr>
        <w:t xml:space="preserve">(United States) March 13, 1997, Report No. 51/96, Case No. 10.675, para 167. </w:t>
      </w:r>
    </w:p>
  </w:footnote>
  <w:footnote w:id="64">
    <w:p w:rsidR="00271D38" w:rsidRPr="00C94FF8" w:rsidRDefault="00271D38" w:rsidP="000E1FEF">
      <w:pPr>
        <w:pStyle w:val="FootnoteText"/>
        <w:ind w:left="284" w:hanging="284"/>
        <w:jc w:val="both"/>
        <w:rPr>
          <w:color w:val="000000" w:themeColor="text1"/>
        </w:rPr>
      </w:pPr>
      <w:r w:rsidRPr="003A6EF4">
        <w:rPr>
          <w:rStyle w:val="FootnoteReference"/>
          <w:color w:val="000000" w:themeColor="text1"/>
        </w:rPr>
        <w:footnoteRef/>
      </w:r>
      <w:r w:rsidRPr="003A6EF4">
        <w:rPr>
          <w:color w:val="000000" w:themeColor="text1"/>
        </w:rPr>
        <w:t xml:space="preserve"> </w:t>
      </w:r>
      <w:r w:rsidRPr="003A6EF4">
        <w:rPr>
          <w:i/>
          <w:color w:val="000000" w:themeColor="text1"/>
        </w:rPr>
        <w:t>Victor Saldaño v</w:t>
      </w:r>
      <w:r>
        <w:rPr>
          <w:i/>
          <w:color w:val="000000" w:themeColor="text1"/>
        </w:rPr>
        <w:t>.</w:t>
      </w:r>
      <w:r w:rsidRPr="003A6EF4">
        <w:rPr>
          <w:i/>
          <w:color w:val="000000" w:themeColor="text1"/>
        </w:rPr>
        <w:t xml:space="preserve"> Argentina</w:t>
      </w:r>
      <w:r w:rsidRPr="003A6EF4">
        <w:rPr>
          <w:color w:val="000000" w:themeColor="text1"/>
        </w:rPr>
        <w:t xml:space="preserve">, Petition, Report No. 38/99, Inter-Am. C.H.R., OEA/Ser.L/V/II.95 Doc. 7 rev. at 289 (1998), para 17. </w:t>
      </w:r>
    </w:p>
  </w:footnote>
  <w:footnote w:id="65">
    <w:p w:rsidR="00271D38" w:rsidRPr="003A6EF4" w:rsidRDefault="00271D38" w:rsidP="003D6F32">
      <w:pPr>
        <w:pStyle w:val="FootnoteText"/>
        <w:jc w:val="both"/>
        <w:rPr>
          <w:color w:val="000000" w:themeColor="text1"/>
        </w:rPr>
      </w:pPr>
      <w:r w:rsidRPr="00C94FF8">
        <w:rPr>
          <w:rStyle w:val="FootnoteReference"/>
          <w:color w:val="000000" w:themeColor="text1"/>
        </w:rPr>
        <w:footnoteRef/>
      </w:r>
      <w:r w:rsidRPr="00C94FF8">
        <w:rPr>
          <w:color w:val="000000" w:themeColor="text1"/>
        </w:rPr>
        <w:t xml:space="preserve"> Ibid.</w:t>
      </w:r>
      <w:r>
        <w:rPr>
          <w:i/>
          <w:color w:val="000000" w:themeColor="text1"/>
        </w:rPr>
        <w:t xml:space="preserve"> </w:t>
      </w:r>
    </w:p>
  </w:footnote>
  <w:footnote w:id="66">
    <w:p w:rsidR="00271D38" w:rsidRPr="004D0DDD" w:rsidRDefault="00271D38" w:rsidP="000E1FEF">
      <w:pPr>
        <w:pStyle w:val="NormalWeb"/>
        <w:spacing w:before="0" w:beforeAutospacing="0" w:after="0" w:afterAutospacing="0"/>
        <w:ind w:left="284" w:hanging="284"/>
        <w:jc w:val="both"/>
        <w:rPr>
          <w:color w:val="000000" w:themeColor="text1"/>
          <w:sz w:val="20"/>
          <w:szCs w:val="20"/>
        </w:rPr>
      </w:pPr>
      <w:r w:rsidRPr="004D0DDD">
        <w:rPr>
          <w:rStyle w:val="FootnoteReference"/>
          <w:sz w:val="20"/>
          <w:szCs w:val="20"/>
        </w:rPr>
        <w:footnoteRef/>
      </w:r>
      <w:r w:rsidRPr="004D0DDD">
        <w:rPr>
          <w:sz w:val="20"/>
          <w:szCs w:val="20"/>
        </w:rPr>
        <w:t xml:space="preserve"> </w:t>
      </w:r>
      <w:r w:rsidRPr="004D0DDD">
        <w:rPr>
          <w:i/>
          <w:sz w:val="20"/>
          <w:szCs w:val="20"/>
        </w:rPr>
        <w:t>US Interdiction of Haitians on the High Seas</w:t>
      </w:r>
      <w:r>
        <w:rPr>
          <w:i/>
          <w:sz w:val="20"/>
          <w:szCs w:val="20"/>
        </w:rPr>
        <w:t xml:space="preserve"> </w:t>
      </w:r>
      <w:r w:rsidRPr="004D0DDD">
        <w:rPr>
          <w:color w:val="000000" w:themeColor="text1"/>
          <w:sz w:val="20"/>
          <w:szCs w:val="20"/>
        </w:rPr>
        <w:t>(United States) March 13, 1997, Report No. 51/96, Case No. 10.675 para 167.</w:t>
      </w:r>
    </w:p>
  </w:footnote>
  <w:footnote w:id="67">
    <w:p w:rsidR="00271D38" w:rsidRPr="00EB0935" w:rsidRDefault="00271D38" w:rsidP="000E1FEF">
      <w:pPr>
        <w:pStyle w:val="FootnoteText"/>
        <w:ind w:left="284" w:hanging="284"/>
        <w:jc w:val="both"/>
      </w:pPr>
      <w:r w:rsidRPr="004D0DDD">
        <w:rPr>
          <w:rStyle w:val="FootnoteReference"/>
        </w:rPr>
        <w:footnoteRef/>
      </w:r>
      <w:r w:rsidRPr="004D0DDD">
        <w:t xml:space="preserve"> </w:t>
      </w:r>
      <w:r w:rsidRPr="004D0DDD">
        <w:rPr>
          <w:i/>
        </w:rPr>
        <w:t>US Interdiction of Haitians on the High Seas</w:t>
      </w:r>
      <w:r>
        <w:rPr>
          <w:i/>
        </w:rPr>
        <w:t xml:space="preserve"> </w:t>
      </w:r>
      <w:r w:rsidRPr="004D0DDD">
        <w:rPr>
          <w:color w:val="000000" w:themeColor="text1"/>
        </w:rPr>
        <w:t>(United States) March 13, 1997, Report No. 51/96, Case No. 10.675 para 167.</w:t>
      </w:r>
    </w:p>
  </w:footnote>
  <w:footnote w:id="68">
    <w:p w:rsidR="00271D38" w:rsidRPr="004D0DDD" w:rsidRDefault="00271D38" w:rsidP="003D6F32">
      <w:pPr>
        <w:pStyle w:val="FootnoteText"/>
        <w:jc w:val="both"/>
      </w:pPr>
      <w:r w:rsidRPr="004D0DDD">
        <w:rPr>
          <w:rStyle w:val="FootnoteReference"/>
        </w:rPr>
        <w:footnoteRef/>
      </w:r>
      <w:r w:rsidRPr="004D0DDD">
        <w:t xml:space="preserve"> Organiz</w:t>
      </w:r>
      <w:r>
        <w:t xml:space="preserve">ation of American States (OAS), </w:t>
      </w:r>
      <w:r w:rsidRPr="000A061F">
        <w:rPr>
          <w:i/>
        </w:rPr>
        <w:t>Statute of American Commission on Human Rights</w:t>
      </w:r>
      <w:r w:rsidRPr="004D0DDD">
        <w:t>. Article 19 (c).</w:t>
      </w:r>
    </w:p>
  </w:footnote>
  <w:footnote w:id="69">
    <w:p w:rsidR="00271D38" w:rsidRPr="004D0DDD" w:rsidRDefault="00271D38" w:rsidP="000E1FEF">
      <w:pPr>
        <w:pStyle w:val="FootnoteText"/>
        <w:ind w:left="284" w:hanging="284"/>
        <w:jc w:val="both"/>
      </w:pPr>
      <w:r w:rsidRPr="004D0DDD">
        <w:rPr>
          <w:rStyle w:val="FootnoteReference"/>
        </w:rPr>
        <w:footnoteRef/>
      </w:r>
      <w:r w:rsidRPr="004D0DDD">
        <w:t xml:space="preserve"> </w:t>
      </w:r>
      <w:r w:rsidRPr="004D0DDD">
        <w:rPr>
          <w:color w:val="000000"/>
        </w:rPr>
        <w:t xml:space="preserve">Organization of American States (OAS), </w:t>
      </w:r>
      <w:r w:rsidRPr="004D0DDD">
        <w:rPr>
          <w:i/>
          <w:iCs/>
          <w:color w:val="000000"/>
        </w:rPr>
        <w:t>American Convention on Human Rights, "Pact of San Jose", Costa Rica</w:t>
      </w:r>
      <w:r w:rsidRPr="004D0DDD">
        <w:rPr>
          <w:color w:val="000000"/>
        </w:rPr>
        <w:t>, 22 November 1969</w:t>
      </w:r>
      <w:r>
        <w:rPr>
          <w:color w:val="000000"/>
        </w:rPr>
        <w:t>, art 46(1(a)</w:t>
      </w:r>
      <w:r w:rsidRPr="004D0DDD">
        <w:rPr>
          <w:color w:val="000000"/>
        </w:rPr>
        <w:t>.</w:t>
      </w:r>
    </w:p>
  </w:footnote>
  <w:footnote w:id="70">
    <w:p w:rsidR="00271D38" w:rsidRDefault="00271D38" w:rsidP="000E1FEF">
      <w:pPr>
        <w:pStyle w:val="FootnoteText"/>
        <w:tabs>
          <w:tab w:val="left" w:pos="142"/>
        </w:tabs>
        <w:ind w:left="284" w:hanging="284"/>
        <w:jc w:val="both"/>
      </w:pPr>
      <w:r>
        <w:rPr>
          <w:rStyle w:val="FootnoteReference"/>
        </w:rPr>
        <w:footnoteRef/>
      </w:r>
      <w:r>
        <w:t xml:space="preserve"> </w:t>
      </w:r>
      <w:r w:rsidRPr="00317BCB">
        <w:rPr>
          <w:color w:val="000000"/>
        </w:rPr>
        <w:t xml:space="preserve">Organization of American States (OAS), </w:t>
      </w:r>
      <w:r w:rsidRPr="00317BCB">
        <w:rPr>
          <w:i/>
          <w:iCs/>
          <w:color w:val="000000"/>
        </w:rPr>
        <w:t>American Convention on Human Rights, "Pact of San Jose", Costa Rica</w:t>
      </w:r>
      <w:r w:rsidRPr="00317BCB">
        <w:rPr>
          <w:color w:val="000000"/>
        </w:rPr>
        <w:t>, 22 November 1969.</w:t>
      </w:r>
    </w:p>
  </w:footnote>
  <w:footnote w:id="71">
    <w:p w:rsidR="00271D38" w:rsidRDefault="00271D38" w:rsidP="000E1FEF">
      <w:pPr>
        <w:pStyle w:val="FootnoteText"/>
        <w:ind w:left="284" w:hanging="284"/>
        <w:jc w:val="both"/>
      </w:pPr>
      <w:r>
        <w:rPr>
          <w:rStyle w:val="FootnoteReference"/>
        </w:rPr>
        <w:footnoteRef/>
      </w:r>
      <w:r>
        <w:t xml:space="preserve"> </w:t>
      </w:r>
      <w:r w:rsidRPr="001713E9">
        <w:t>Katrine Bjørndal Skjelten, "The Principle of Exhaustion of Domestic Remedies in the Inter-American System of Human Rights; a reasonable obs</w:t>
      </w:r>
      <w:r>
        <w:t>tacle or an impossible barrier?”</w:t>
      </w:r>
      <w:r w:rsidRPr="001713E9">
        <w:t xml:space="preserve"> Master's T</w:t>
      </w:r>
      <w:r>
        <w:t xml:space="preserve">hesis, University of Oslo, 2014, p. 36. </w:t>
      </w:r>
    </w:p>
  </w:footnote>
  <w:footnote w:id="72">
    <w:p w:rsidR="00271D38" w:rsidRDefault="00271D38" w:rsidP="008625DC">
      <w:pPr>
        <w:pStyle w:val="FootnoteText"/>
        <w:jc w:val="both"/>
      </w:pPr>
      <w:r>
        <w:rPr>
          <w:rStyle w:val="FootnoteReference"/>
        </w:rPr>
        <w:footnoteRef/>
      </w:r>
      <w:r>
        <w:t xml:space="preserve"> </w:t>
      </w:r>
      <w:r>
        <w:rPr>
          <w:color w:val="000000"/>
        </w:rPr>
        <w:t xml:space="preserve">Inter-Am.Ct.H.R. (Ser. C) No. 4 (1988), Inter-American Court of Human Rights (IACrtHR), 29 July 1988. </w:t>
      </w:r>
    </w:p>
  </w:footnote>
  <w:footnote w:id="73">
    <w:p w:rsidR="00271D38" w:rsidRPr="00371348" w:rsidRDefault="00271D38" w:rsidP="00BD5E7C">
      <w:pPr>
        <w:pStyle w:val="FootnoteText"/>
        <w:jc w:val="both"/>
        <w:rPr>
          <w:lang w:val="es-ES"/>
        </w:rPr>
      </w:pPr>
      <w:r>
        <w:rPr>
          <w:rStyle w:val="FootnoteReference"/>
        </w:rPr>
        <w:footnoteRef/>
      </w:r>
      <w:r w:rsidRPr="00371348">
        <w:rPr>
          <w:i/>
          <w:iCs/>
          <w:color w:val="000000"/>
          <w:lang w:val="es-ES"/>
        </w:rPr>
        <w:t xml:space="preserve"> </w:t>
      </w:r>
      <w:r w:rsidRPr="00371348">
        <w:rPr>
          <w:iCs/>
          <w:color w:val="000000"/>
          <w:lang w:val="es-ES"/>
        </w:rPr>
        <w:t>Ibid</w:t>
      </w:r>
      <w:r w:rsidRPr="00371348">
        <w:rPr>
          <w:color w:val="000000"/>
          <w:lang w:val="es-ES"/>
        </w:rPr>
        <w:t xml:space="preserve">, </w:t>
      </w:r>
      <w:r w:rsidRPr="00371348">
        <w:rPr>
          <w:lang w:val="es-ES"/>
        </w:rPr>
        <w:t xml:space="preserve">para 64. </w:t>
      </w:r>
    </w:p>
  </w:footnote>
  <w:footnote w:id="74">
    <w:p w:rsidR="00271D38" w:rsidRPr="00371348" w:rsidRDefault="00271D38" w:rsidP="00BD5E7C">
      <w:pPr>
        <w:pStyle w:val="FootnoteText"/>
        <w:jc w:val="both"/>
        <w:rPr>
          <w:lang w:val="es-ES"/>
        </w:rPr>
      </w:pPr>
      <w:r>
        <w:rPr>
          <w:rStyle w:val="FootnoteReference"/>
        </w:rPr>
        <w:footnoteRef/>
      </w:r>
      <w:r w:rsidRPr="00371348">
        <w:rPr>
          <w:iCs/>
          <w:color w:val="000000"/>
          <w:lang w:val="es-ES"/>
        </w:rPr>
        <w:t xml:space="preserve"> Ibid</w:t>
      </w:r>
      <w:r w:rsidRPr="00371348">
        <w:rPr>
          <w:color w:val="000000"/>
          <w:lang w:val="es-ES"/>
        </w:rPr>
        <w:t xml:space="preserve">, </w:t>
      </w:r>
      <w:r w:rsidRPr="00371348">
        <w:rPr>
          <w:lang w:val="es-ES"/>
        </w:rPr>
        <w:t>para 66.</w:t>
      </w:r>
    </w:p>
  </w:footnote>
  <w:footnote w:id="75">
    <w:p w:rsidR="00271D38" w:rsidRPr="00371348" w:rsidRDefault="00271D38" w:rsidP="00BD5E7C">
      <w:pPr>
        <w:pStyle w:val="FootnoteText"/>
        <w:jc w:val="both"/>
        <w:rPr>
          <w:lang w:val="es-ES"/>
        </w:rPr>
      </w:pPr>
      <w:r>
        <w:rPr>
          <w:rStyle w:val="FootnoteReference"/>
        </w:rPr>
        <w:footnoteRef/>
      </w:r>
      <w:r w:rsidRPr="00371348">
        <w:rPr>
          <w:lang w:val="es-ES"/>
        </w:rPr>
        <w:t xml:space="preserve"> Hypothetical Case, para 18 &amp;20.</w:t>
      </w:r>
    </w:p>
  </w:footnote>
  <w:footnote w:id="76">
    <w:p w:rsidR="00271D38" w:rsidRDefault="00271D38" w:rsidP="00BD5E7C">
      <w:pPr>
        <w:pStyle w:val="FootnoteText"/>
        <w:jc w:val="both"/>
      </w:pPr>
      <w:r>
        <w:rPr>
          <w:rStyle w:val="FootnoteReference"/>
        </w:rPr>
        <w:footnoteRef/>
      </w:r>
      <w:r>
        <w:t xml:space="preserve"> Hypothetical Case, para 18.</w:t>
      </w:r>
    </w:p>
  </w:footnote>
  <w:footnote w:id="77">
    <w:p w:rsidR="00271D38" w:rsidRDefault="00271D38" w:rsidP="00BD5E7C">
      <w:pPr>
        <w:pStyle w:val="FootnoteText"/>
        <w:jc w:val="both"/>
      </w:pPr>
      <w:r>
        <w:rPr>
          <w:rStyle w:val="FootnoteReference"/>
        </w:rPr>
        <w:footnoteRef/>
      </w:r>
      <w:r>
        <w:t xml:space="preserve"> Hypothetical Case, para 24 and 26. </w:t>
      </w:r>
    </w:p>
  </w:footnote>
  <w:footnote w:id="78">
    <w:p w:rsidR="00271D38" w:rsidRDefault="00271D38" w:rsidP="00BD5E7C">
      <w:pPr>
        <w:pStyle w:val="FootnoteText"/>
        <w:ind w:left="284" w:hanging="284"/>
        <w:jc w:val="both"/>
      </w:pPr>
      <w:r>
        <w:rPr>
          <w:rStyle w:val="FootnoteReference"/>
        </w:rPr>
        <w:footnoteRef/>
      </w:r>
      <w:r>
        <w:t xml:space="preserve"> </w:t>
      </w:r>
      <w:r>
        <w:rPr>
          <w:rStyle w:val="itemtitle"/>
          <w:i/>
          <w:color w:val="000000" w:themeColor="text1"/>
        </w:rPr>
        <w:t>Case of Baldeón García v. Perú</w:t>
      </w:r>
      <w:r w:rsidRPr="00146359">
        <w:rPr>
          <w:rStyle w:val="itemtitle"/>
          <w:color w:val="000000" w:themeColor="text1"/>
        </w:rPr>
        <w:t xml:space="preserve">, Yllaconza Ramirez de Baldeón and ors </w:t>
      </w:r>
      <w:r>
        <w:rPr>
          <w:rStyle w:val="itemtitle"/>
          <w:color w:val="000000" w:themeColor="text1"/>
        </w:rPr>
        <w:t xml:space="preserve">(on behalf of Baldeón García) v. </w:t>
      </w:r>
      <w:r w:rsidRPr="00146359">
        <w:rPr>
          <w:rStyle w:val="itemtitle"/>
          <w:color w:val="000000" w:themeColor="text1"/>
        </w:rPr>
        <w:t>Peru, Merits, reparations and costs, IACHR Series C No 147, IHRL 1531 (IACHR 2006), 6th April 2006, Inter-American</w:t>
      </w:r>
      <w:r>
        <w:rPr>
          <w:rStyle w:val="itemtitle"/>
          <w:color w:val="000000" w:themeColor="text1"/>
        </w:rPr>
        <w:t xml:space="preserve"> Court of Human Rights [IACtHR].</w:t>
      </w:r>
    </w:p>
  </w:footnote>
  <w:footnote w:id="79">
    <w:p w:rsidR="00271D38" w:rsidRPr="004E22F0" w:rsidRDefault="00271D38" w:rsidP="00BD5E7C">
      <w:pPr>
        <w:pStyle w:val="FootnoteText"/>
        <w:ind w:left="284" w:hanging="284"/>
        <w:jc w:val="both"/>
      </w:pPr>
      <w:r>
        <w:rPr>
          <w:rStyle w:val="FootnoteReference"/>
        </w:rPr>
        <w:footnoteRef/>
      </w:r>
      <w:r>
        <w:rPr>
          <w:rStyle w:val="itemtitle"/>
          <w:i/>
          <w:color w:val="000000" w:themeColor="text1"/>
        </w:rPr>
        <w:t xml:space="preserve"> </w:t>
      </w:r>
      <w:r w:rsidRPr="004E22F0">
        <w:rPr>
          <w:rStyle w:val="itemtitle"/>
          <w:color w:val="000000" w:themeColor="text1"/>
        </w:rPr>
        <w:t>Ibid, p</w:t>
      </w:r>
      <w:r w:rsidRPr="004E22F0">
        <w:t xml:space="preserve">ara 153. </w:t>
      </w:r>
    </w:p>
  </w:footnote>
  <w:footnote w:id="80">
    <w:p w:rsidR="00271D38" w:rsidRDefault="00271D38" w:rsidP="00BD5E7C">
      <w:pPr>
        <w:pStyle w:val="FootnoteText"/>
        <w:jc w:val="both"/>
      </w:pPr>
      <w:r w:rsidRPr="004E22F0">
        <w:rPr>
          <w:rStyle w:val="FootnoteReference"/>
        </w:rPr>
        <w:footnoteRef/>
      </w:r>
      <w:r w:rsidRPr="004E22F0">
        <w:t xml:space="preserve"> Hypothetical Case,</w:t>
      </w:r>
      <w:r>
        <w:t xml:space="preserve"> para 17 &amp; 29.</w:t>
      </w:r>
    </w:p>
  </w:footnote>
  <w:footnote w:id="81">
    <w:p w:rsidR="00271D38" w:rsidRDefault="00271D38" w:rsidP="00BD5E7C">
      <w:pPr>
        <w:pStyle w:val="FootnoteText"/>
        <w:jc w:val="both"/>
      </w:pPr>
      <w:r>
        <w:rPr>
          <w:rStyle w:val="FootnoteReference"/>
        </w:rPr>
        <w:footnoteRef/>
      </w:r>
      <w:r>
        <w:t xml:space="preserve"> Hypothetical Case, para 23 &amp; 28.  </w:t>
      </w:r>
    </w:p>
  </w:footnote>
  <w:footnote w:id="82">
    <w:p w:rsidR="00271D38" w:rsidRDefault="00271D38" w:rsidP="00BD5E7C">
      <w:pPr>
        <w:pStyle w:val="FootnoteText"/>
        <w:jc w:val="both"/>
      </w:pPr>
      <w:r>
        <w:rPr>
          <w:rStyle w:val="FootnoteReference"/>
        </w:rPr>
        <w:footnoteRef/>
      </w:r>
      <w:r>
        <w:t xml:space="preserve"> Case 11.218, Report Nº 52/97, Inter-Am. C.H.R February 18, 1998. </w:t>
      </w:r>
    </w:p>
  </w:footnote>
  <w:footnote w:id="83">
    <w:p w:rsidR="00271D38" w:rsidRPr="00371348" w:rsidRDefault="00271D38" w:rsidP="00BD5E7C">
      <w:pPr>
        <w:pStyle w:val="FootnoteText"/>
        <w:jc w:val="both"/>
        <w:rPr>
          <w:lang w:val="es-ES"/>
        </w:rPr>
      </w:pPr>
      <w:r>
        <w:rPr>
          <w:rStyle w:val="FootnoteReference"/>
        </w:rPr>
        <w:footnoteRef/>
      </w:r>
      <w:r w:rsidRPr="00371348">
        <w:rPr>
          <w:lang w:val="es-ES"/>
        </w:rPr>
        <w:t xml:space="preserve"> Ibid, para 124. </w:t>
      </w:r>
    </w:p>
  </w:footnote>
  <w:footnote w:id="84">
    <w:p w:rsidR="00271D38" w:rsidRPr="00371348" w:rsidRDefault="00271D38" w:rsidP="00BD5E7C">
      <w:pPr>
        <w:pStyle w:val="FootnoteText"/>
        <w:jc w:val="both"/>
        <w:rPr>
          <w:lang w:val="es-ES"/>
        </w:rPr>
      </w:pPr>
      <w:r w:rsidRPr="00660058">
        <w:rPr>
          <w:rStyle w:val="FootnoteReference"/>
        </w:rPr>
        <w:footnoteRef/>
      </w:r>
      <w:r w:rsidRPr="00371348">
        <w:rPr>
          <w:lang w:val="es-ES"/>
        </w:rPr>
        <w:t xml:space="preserve"> Hypothetical Question, para 39.</w:t>
      </w:r>
    </w:p>
  </w:footnote>
  <w:footnote w:id="85">
    <w:p w:rsidR="00271D38" w:rsidRPr="00660058" w:rsidRDefault="00271D38" w:rsidP="00BD5E7C">
      <w:pPr>
        <w:pStyle w:val="FootnoteText"/>
        <w:jc w:val="both"/>
      </w:pPr>
      <w:r w:rsidRPr="00660058">
        <w:rPr>
          <w:rStyle w:val="FootnoteReference"/>
        </w:rPr>
        <w:footnoteRef/>
      </w:r>
      <w:r w:rsidRPr="00660058">
        <w:t xml:space="preserve"> Hypothetical Case, Para 39.</w:t>
      </w:r>
    </w:p>
  </w:footnote>
  <w:footnote w:id="86">
    <w:p w:rsidR="00271D38" w:rsidRPr="00660058" w:rsidRDefault="00271D38" w:rsidP="00BD5E7C">
      <w:pPr>
        <w:pStyle w:val="FootnoteText"/>
        <w:ind w:left="284" w:hanging="284"/>
        <w:jc w:val="both"/>
      </w:pPr>
      <w:r w:rsidRPr="00660058">
        <w:rPr>
          <w:rStyle w:val="FootnoteReference"/>
        </w:rPr>
        <w:footnoteRef/>
      </w:r>
      <w:r w:rsidRPr="00660058">
        <w:t xml:space="preserve"> Habeas Corpus in Emergency Situations (arts. 27(2), 25(1) and 7(6) American Convention on Human Rights), Advisory Opinion OC-8/87 of January 30, 1987, ser. A: Judgments and Opinions, No. 8 (1987) [hereinafter Habeas Corpus].</w:t>
      </w:r>
    </w:p>
  </w:footnote>
  <w:footnote w:id="87">
    <w:p w:rsidR="00271D38" w:rsidRPr="00660058" w:rsidRDefault="00271D38" w:rsidP="00BD5E7C">
      <w:pPr>
        <w:pStyle w:val="FootnoteText"/>
        <w:ind w:left="284" w:hanging="284"/>
        <w:jc w:val="both"/>
      </w:pPr>
      <w:r w:rsidRPr="00660058">
        <w:rPr>
          <w:rStyle w:val="FootnoteReference"/>
        </w:rPr>
        <w:footnoteRef/>
      </w:r>
      <w:r w:rsidRPr="00660058">
        <w:t xml:space="preserve"> </w:t>
      </w:r>
      <w:r w:rsidRPr="00660058">
        <w:rPr>
          <w:color w:val="000000"/>
        </w:rPr>
        <w:t xml:space="preserve">Organization of American States (OAS), </w:t>
      </w:r>
      <w:r w:rsidRPr="00660058">
        <w:rPr>
          <w:i/>
          <w:iCs/>
          <w:color w:val="000000"/>
        </w:rPr>
        <w:t>American Convention on Human Rights, "Pact of San Jose", Costa Rica</w:t>
      </w:r>
      <w:r w:rsidRPr="00660058">
        <w:rPr>
          <w:color w:val="000000"/>
        </w:rPr>
        <w:t>, 22 November 1969.</w:t>
      </w:r>
    </w:p>
  </w:footnote>
  <w:footnote w:id="88">
    <w:p w:rsidR="00271D38" w:rsidRPr="00660058" w:rsidRDefault="00271D38" w:rsidP="00BD5E7C">
      <w:pPr>
        <w:pStyle w:val="FootnoteText"/>
        <w:ind w:left="284" w:hanging="284"/>
        <w:jc w:val="both"/>
      </w:pPr>
      <w:r w:rsidRPr="00660058">
        <w:rPr>
          <w:rStyle w:val="FootnoteReference"/>
        </w:rPr>
        <w:footnoteRef/>
      </w:r>
      <w:r w:rsidRPr="00660058">
        <w:t xml:space="preserve"> </w:t>
      </w:r>
      <w:r>
        <w:rPr>
          <w:color w:val="000000"/>
        </w:rPr>
        <w:t>Ibid.</w:t>
      </w:r>
    </w:p>
  </w:footnote>
  <w:footnote w:id="89">
    <w:p w:rsidR="00271D38" w:rsidRDefault="00271D38" w:rsidP="00BD5E7C">
      <w:pPr>
        <w:pStyle w:val="FootnoteText"/>
        <w:jc w:val="both"/>
      </w:pPr>
      <w:r>
        <w:rPr>
          <w:rStyle w:val="FootnoteReference"/>
        </w:rPr>
        <w:footnoteRef/>
      </w:r>
      <w:r>
        <w:t xml:space="preserve"> Hypothetical Case, para 39. </w:t>
      </w:r>
    </w:p>
  </w:footnote>
  <w:footnote w:id="90">
    <w:p w:rsidR="00271D38" w:rsidRDefault="00271D38" w:rsidP="00BD5E7C">
      <w:pPr>
        <w:pStyle w:val="FootnoteText"/>
        <w:jc w:val="both"/>
      </w:pPr>
      <w:r>
        <w:rPr>
          <w:rStyle w:val="FootnoteReference"/>
        </w:rPr>
        <w:footnoteRef/>
      </w:r>
      <w:r>
        <w:t xml:space="preserve"> Hypothetical Case, para 47. </w:t>
      </w:r>
    </w:p>
  </w:footnote>
  <w:footnote w:id="91">
    <w:p w:rsidR="00271D38" w:rsidRPr="003A6EF4" w:rsidRDefault="00271D38" w:rsidP="00CA44BD">
      <w:pPr>
        <w:pStyle w:val="FootnoteText"/>
        <w:ind w:left="284" w:hanging="284"/>
        <w:jc w:val="both"/>
        <w:rPr>
          <w:color w:val="000000" w:themeColor="text1"/>
        </w:rPr>
      </w:pPr>
      <w:r w:rsidRPr="003A6EF4">
        <w:rPr>
          <w:rStyle w:val="FootnoteReference"/>
          <w:color w:val="000000" w:themeColor="text1"/>
        </w:rPr>
        <w:footnoteRef/>
      </w:r>
      <w:r w:rsidRPr="003A6EF4">
        <w:rPr>
          <w:color w:val="000000" w:themeColor="text1"/>
        </w:rPr>
        <w:t xml:space="preserve"> </w:t>
      </w:r>
      <w:r w:rsidRPr="003A2900">
        <w:t xml:space="preserve">Organization of American States (OAS), </w:t>
      </w:r>
      <w:r w:rsidRPr="003A2900">
        <w:rPr>
          <w:i/>
          <w:iCs/>
        </w:rPr>
        <w:t>American Convention on Human Rights, "Pact of San Jose", Costa Rica</w:t>
      </w:r>
      <w:r w:rsidRPr="003A2900">
        <w:t>, 22 November 1969.</w:t>
      </w:r>
    </w:p>
  </w:footnote>
  <w:footnote w:id="92">
    <w:p w:rsidR="00271D38" w:rsidRPr="003A6EF4" w:rsidRDefault="00271D38" w:rsidP="000E55D3">
      <w:pPr>
        <w:pStyle w:val="FootnoteText"/>
        <w:tabs>
          <w:tab w:val="left" w:pos="1728"/>
        </w:tabs>
        <w:jc w:val="both"/>
        <w:rPr>
          <w:color w:val="000000" w:themeColor="text1"/>
        </w:rPr>
      </w:pPr>
      <w:r w:rsidRPr="003A6EF4">
        <w:rPr>
          <w:rStyle w:val="FootnoteReference"/>
          <w:color w:val="000000" w:themeColor="text1"/>
        </w:rPr>
        <w:footnoteRef/>
      </w:r>
      <w:r w:rsidRPr="003A6EF4">
        <w:rPr>
          <w:color w:val="000000" w:themeColor="text1"/>
        </w:rPr>
        <w:t xml:space="preserve"> </w:t>
      </w:r>
      <w:r>
        <w:rPr>
          <w:color w:val="000000" w:themeColor="text1"/>
        </w:rPr>
        <w:t>Ibid.</w:t>
      </w:r>
      <w:r>
        <w:rPr>
          <w:color w:val="000000" w:themeColor="text1"/>
        </w:rPr>
        <w:tab/>
      </w:r>
    </w:p>
  </w:footnote>
  <w:footnote w:id="93">
    <w:p w:rsidR="00271D38" w:rsidRPr="003A6EF4" w:rsidRDefault="00271D38" w:rsidP="00463348">
      <w:pPr>
        <w:pStyle w:val="FootnoteText"/>
        <w:tabs>
          <w:tab w:val="left" w:pos="142"/>
        </w:tabs>
        <w:ind w:left="284" w:hanging="284"/>
        <w:jc w:val="both"/>
        <w:rPr>
          <w:color w:val="000000" w:themeColor="text1"/>
        </w:rPr>
      </w:pPr>
      <w:r w:rsidRPr="003A6EF4">
        <w:rPr>
          <w:rStyle w:val="FootnoteReference"/>
          <w:color w:val="000000" w:themeColor="text1"/>
        </w:rPr>
        <w:footnoteRef/>
      </w:r>
      <w:r w:rsidRPr="003A6EF4">
        <w:rPr>
          <w:i/>
          <w:iCs/>
          <w:color w:val="000000" w:themeColor="text1"/>
        </w:rPr>
        <w:t>Case of the Pueblo Bello Massacre v. Colombia</w:t>
      </w:r>
      <w:r w:rsidRPr="003A6EF4">
        <w:rPr>
          <w:color w:val="000000" w:themeColor="text1"/>
          <w:shd w:val="clear" w:color="auto" w:fill="F9F9F9"/>
        </w:rPr>
        <w:t xml:space="preserve"> </w:t>
      </w:r>
      <w:r w:rsidRPr="003A6EF4">
        <w:rPr>
          <w:color w:val="000000" w:themeColor="text1"/>
        </w:rPr>
        <w:t>Serie C No. 140. Inter-American Court of Human Rights (IACrtHR), 31 January 2006, para 120.</w:t>
      </w:r>
    </w:p>
  </w:footnote>
  <w:footnote w:id="94">
    <w:p w:rsidR="00271D38" w:rsidRDefault="00271D38" w:rsidP="00D34C98">
      <w:pPr>
        <w:pStyle w:val="FootnoteText"/>
        <w:ind w:left="284" w:hanging="284"/>
        <w:jc w:val="both"/>
      </w:pPr>
      <w:r>
        <w:rPr>
          <w:rStyle w:val="FootnoteReference"/>
        </w:rPr>
        <w:footnoteRef/>
      </w:r>
      <w:r>
        <w:t xml:space="preserve"> Robert McCorquodale and Penelope Simons, “Responsibility Beyond Borders: State Responsibility for Extraterritorial Violations by Corporations of International </w:t>
      </w:r>
      <w:r w:rsidRPr="00463348">
        <w:rPr>
          <w:color w:val="000000" w:themeColor="text1"/>
        </w:rPr>
        <w:t>Human Rights Law”</w:t>
      </w:r>
      <w:r>
        <w:rPr>
          <w:color w:val="000000" w:themeColor="text1"/>
        </w:rPr>
        <w:t xml:space="preserve"> The Modern Law Review Limited</w:t>
      </w:r>
      <w:r w:rsidRPr="00463348">
        <w:rPr>
          <w:color w:val="000000" w:themeColor="text1"/>
        </w:rPr>
        <w:t xml:space="preserve"> (2007) 70(4) MLR 598-625, p.1. </w:t>
      </w:r>
    </w:p>
  </w:footnote>
  <w:footnote w:id="95">
    <w:p w:rsidR="00271D38" w:rsidRDefault="00271D38" w:rsidP="00D34C98">
      <w:pPr>
        <w:pStyle w:val="FootnoteText"/>
        <w:ind w:left="284" w:hanging="284"/>
        <w:jc w:val="both"/>
      </w:pPr>
      <w:r>
        <w:rPr>
          <w:rStyle w:val="FootnoteReference"/>
        </w:rPr>
        <w:footnoteRef/>
      </w:r>
      <w:r>
        <w:t xml:space="preserve"> International Law Commission, “Draft Articles on Responsibility of States for Internationally Wrongful Acts</w:t>
      </w:r>
      <w:r w:rsidR="00C61900">
        <w:t>”</w:t>
      </w:r>
      <w:r>
        <w:t xml:space="preserve"> November 2001, Supplement No. 10 (A/56/10/10)”. chp. IV. E1.</w:t>
      </w:r>
    </w:p>
  </w:footnote>
  <w:footnote w:id="96">
    <w:p w:rsidR="00271D38" w:rsidRDefault="00271D38" w:rsidP="00D34C98">
      <w:pPr>
        <w:pStyle w:val="FootnoteText"/>
        <w:tabs>
          <w:tab w:val="left" w:pos="142"/>
        </w:tabs>
        <w:ind w:left="284" w:hanging="284"/>
        <w:jc w:val="both"/>
      </w:pPr>
      <w:r>
        <w:rPr>
          <w:rStyle w:val="FootnoteReference"/>
        </w:rPr>
        <w:footnoteRef/>
      </w:r>
      <w:r>
        <w:t xml:space="preserve"> </w:t>
      </w:r>
      <w:r>
        <w:rPr>
          <w:rFonts w:eastAsia="Times New Roman"/>
          <w:lang w:eastAsia="en-TT"/>
        </w:rPr>
        <w:t>Nicola</w:t>
      </w:r>
      <w:r w:rsidRPr="009D7430">
        <w:rPr>
          <w:rFonts w:eastAsia="Times New Roman"/>
          <w:lang w:eastAsia="en-TT"/>
        </w:rPr>
        <w:t xml:space="preserve"> Jägers,</w:t>
      </w:r>
      <w:r>
        <w:rPr>
          <w:rFonts w:eastAsia="Times New Roman"/>
          <w:lang w:eastAsia="en-TT"/>
        </w:rPr>
        <w:t xml:space="preserve"> </w:t>
      </w:r>
      <w:r w:rsidRPr="008C2D46">
        <w:rPr>
          <w:rFonts w:eastAsia="Times New Roman"/>
          <w:i/>
          <w:lang w:eastAsia="en-TT"/>
        </w:rPr>
        <w:t>Corporate Human Rights Obligations: In Search of Accountability</w:t>
      </w:r>
      <w:r>
        <w:rPr>
          <w:rFonts w:eastAsia="Times New Roman"/>
          <w:lang w:eastAsia="en-TT"/>
        </w:rPr>
        <w:t xml:space="preserve"> </w:t>
      </w:r>
      <w:r w:rsidRPr="009D7430">
        <w:rPr>
          <w:rFonts w:eastAsia="Times New Roman"/>
          <w:lang w:eastAsia="en-TT"/>
        </w:rPr>
        <w:t>(Antwerp: Intersentia, 2002)</w:t>
      </w:r>
      <w:r>
        <w:rPr>
          <w:rFonts w:eastAsia="Times New Roman"/>
          <w:lang w:eastAsia="en-TT"/>
        </w:rPr>
        <w:t xml:space="preserve"> </w:t>
      </w:r>
      <w:r w:rsidRPr="009D7430">
        <w:rPr>
          <w:rFonts w:eastAsia="Times New Roman"/>
          <w:lang w:eastAsia="en-TT"/>
        </w:rPr>
        <w:t>p. 1</w:t>
      </w:r>
      <w:r w:rsidRPr="009D7430">
        <w:rPr>
          <w:shd w:val="clear" w:color="auto" w:fill="FFFFFF"/>
        </w:rPr>
        <w:t>71-172</w:t>
      </w:r>
      <w:r>
        <w:rPr>
          <w:shd w:val="clear" w:color="auto" w:fill="FFFFFF"/>
        </w:rPr>
        <w:t>.</w:t>
      </w:r>
    </w:p>
  </w:footnote>
  <w:footnote w:id="97">
    <w:p w:rsidR="00271D38" w:rsidRDefault="00271D38" w:rsidP="00D34C98">
      <w:pPr>
        <w:pStyle w:val="FootnoteText"/>
        <w:tabs>
          <w:tab w:val="left" w:pos="0"/>
        </w:tabs>
        <w:jc w:val="both"/>
      </w:pPr>
      <w:r>
        <w:rPr>
          <w:rStyle w:val="FootnoteReference"/>
        </w:rPr>
        <w:footnoteRef/>
      </w:r>
      <w:r>
        <w:rPr>
          <w:rFonts w:eastAsia="Times New Roman"/>
          <w:lang w:eastAsia="en-TT"/>
        </w:rPr>
        <w:t xml:space="preserve"> Ibid.</w:t>
      </w:r>
    </w:p>
  </w:footnote>
  <w:footnote w:id="98">
    <w:p w:rsidR="00271D38" w:rsidRDefault="00271D38" w:rsidP="00D34C98">
      <w:pPr>
        <w:pStyle w:val="FootnoteText"/>
        <w:tabs>
          <w:tab w:val="left" w:pos="0"/>
        </w:tabs>
        <w:jc w:val="both"/>
      </w:pPr>
      <w:r>
        <w:rPr>
          <w:rStyle w:val="FootnoteReference"/>
        </w:rPr>
        <w:footnoteRef/>
      </w:r>
      <w:r>
        <w:t xml:space="preserve"> </w:t>
      </w:r>
      <w:r w:rsidRPr="008F008D">
        <w:rPr>
          <w:color w:val="000000" w:themeColor="text1"/>
        </w:rPr>
        <w:t>Case No. ACHPR/COMM/A044/1, Afr. Comm’n Human &amp; Peoples’ Rights</w:t>
      </w:r>
      <w:r>
        <w:rPr>
          <w:color w:val="000000" w:themeColor="text1"/>
        </w:rPr>
        <w:t xml:space="preserve"> </w:t>
      </w:r>
      <w:r w:rsidRPr="008F008D">
        <w:rPr>
          <w:color w:val="000000" w:themeColor="text1"/>
        </w:rPr>
        <w:t>(May 27, 2002)</w:t>
      </w:r>
      <w:r>
        <w:rPr>
          <w:color w:val="000000" w:themeColor="text1"/>
        </w:rPr>
        <w:t>.</w:t>
      </w:r>
    </w:p>
  </w:footnote>
  <w:footnote w:id="99">
    <w:p w:rsidR="00271D38" w:rsidRPr="003A6EF4" w:rsidRDefault="00271D38" w:rsidP="00D34C98">
      <w:pPr>
        <w:pStyle w:val="FootnoteText"/>
        <w:tabs>
          <w:tab w:val="left" w:pos="0"/>
          <w:tab w:val="left" w:pos="284"/>
        </w:tabs>
        <w:jc w:val="both"/>
        <w:rPr>
          <w:color w:val="000000" w:themeColor="text1"/>
        </w:rPr>
      </w:pPr>
      <w:r w:rsidRPr="003A6EF4">
        <w:rPr>
          <w:rStyle w:val="FootnoteReference"/>
          <w:color w:val="000000" w:themeColor="text1"/>
        </w:rPr>
        <w:footnoteRef/>
      </w:r>
      <w:r w:rsidRPr="003A6EF4">
        <w:rPr>
          <w:color w:val="000000" w:themeColor="text1"/>
        </w:rPr>
        <w:t xml:space="preserve"> Petition, Report No. 38/99, Inter-Am. C.H.R., OEA/Ser.L/V/II.95 Doc. 7 rev. at 289 (1998), para 17. </w:t>
      </w:r>
    </w:p>
  </w:footnote>
  <w:footnote w:id="100">
    <w:p w:rsidR="00271D38" w:rsidRPr="003A6EF4" w:rsidRDefault="00271D38" w:rsidP="00D34C98">
      <w:pPr>
        <w:pStyle w:val="FootnoteText"/>
        <w:tabs>
          <w:tab w:val="left" w:pos="0"/>
          <w:tab w:val="left" w:pos="284"/>
        </w:tabs>
        <w:jc w:val="both"/>
        <w:rPr>
          <w:color w:val="000000" w:themeColor="text1"/>
        </w:rPr>
      </w:pPr>
      <w:r w:rsidRPr="003A6EF4">
        <w:rPr>
          <w:rStyle w:val="FootnoteReference"/>
          <w:color w:val="000000" w:themeColor="text1"/>
        </w:rPr>
        <w:footnoteRef/>
      </w:r>
      <w:r w:rsidRPr="003A6EF4">
        <w:rPr>
          <w:color w:val="000000" w:themeColor="text1"/>
        </w:rPr>
        <w:t xml:space="preserve"> (United States) March 13, 1997, Report No. 51/96, Case No. 10.675, para 167. </w:t>
      </w:r>
    </w:p>
  </w:footnote>
  <w:footnote w:id="101">
    <w:p w:rsidR="00271D38" w:rsidRPr="003A6EF4" w:rsidRDefault="00271D38" w:rsidP="00821985">
      <w:pPr>
        <w:pStyle w:val="FootnoteText"/>
        <w:tabs>
          <w:tab w:val="left" w:pos="0"/>
        </w:tabs>
        <w:jc w:val="both"/>
      </w:pPr>
      <w:r w:rsidRPr="003A6EF4">
        <w:rPr>
          <w:rStyle w:val="FootnoteReference"/>
        </w:rPr>
        <w:footnoteRef/>
      </w:r>
      <w:r>
        <w:t xml:space="preserve"> Hypothetical Case, </w:t>
      </w:r>
      <w:r w:rsidRPr="003A6EF4">
        <w:t xml:space="preserve">para 8. </w:t>
      </w:r>
    </w:p>
  </w:footnote>
  <w:footnote w:id="102">
    <w:p w:rsidR="00271D38" w:rsidRDefault="00271D38" w:rsidP="00821985">
      <w:pPr>
        <w:pStyle w:val="FootnoteText"/>
        <w:tabs>
          <w:tab w:val="left" w:pos="0"/>
        </w:tabs>
        <w:jc w:val="both"/>
      </w:pPr>
      <w:r>
        <w:rPr>
          <w:rStyle w:val="FootnoteReference"/>
        </w:rPr>
        <w:footnoteRef/>
      </w:r>
      <w:r>
        <w:t xml:space="preserve"> Ibid.</w:t>
      </w:r>
    </w:p>
  </w:footnote>
  <w:footnote w:id="103">
    <w:p w:rsidR="00271D38" w:rsidRPr="003A6EF4" w:rsidRDefault="00271D38" w:rsidP="00821985">
      <w:pPr>
        <w:pStyle w:val="FootnoteText"/>
        <w:tabs>
          <w:tab w:val="left" w:pos="0"/>
        </w:tabs>
        <w:jc w:val="both"/>
      </w:pPr>
      <w:r w:rsidRPr="003A6EF4">
        <w:rPr>
          <w:rStyle w:val="FootnoteReference"/>
        </w:rPr>
        <w:footnoteRef/>
      </w:r>
      <w:r>
        <w:t xml:space="preserve"> Hypothetical Case, paras 14,</w:t>
      </w:r>
      <w:r w:rsidRPr="003A6EF4">
        <w:t xml:space="preserve"> 19</w:t>
      </w:r>
      <w:r>
        <w:t xml:space="preserve"> &amp; </w:t>
      </w:r>
      <w:r w:rsidRPr="003A6EF4">
        <w:t>22</w:t>
      </w:r>
      <w:r>
        <w:t xml:space="preserve">. </w:t>
      </w:r>
    </w:p>
  </w:footnote>
  <w:footnote w:id="104">
    <w:p w:rsidR="00271D38" w:rsidRPr="003A6EF4" w:rsidRDefault="00271D38" w:rsidP="009D7430">
      <w:pPr>
        <w:pStyle w:val="FootnoteText"/>
        <w:jc w:val="both"/>
      </w:pPr>
      <w:r w:rsidRPr="003A6EF4">
        <w:rPr>
          <w:rStyle w:val="FootnoteReference"/>
        </w:rPr>
        <w:footnoteRef/>
      </w:r>
      <w:r w:rsidRPr="003A6EF4">
        <w:t xml:space="preserve"> Hypothetical Case, para 22.</w:t>
      </w:r>
    </w:p>
  </w:footnote>
  <w:footnote w:id="105">
    <w:p w:rsidR="00271D38" w:rsidRPr="003A6EF4" w:rsidRDefault="00271D38" w:rsidP="009D7430">
      <w:pPr>
        <w:pStyle w:val="FootnoteText"/>
        <w:jc w:val="both"/>
      </w:pPr>
      <w:r w:rsidRPr="003A6EF4">
        <w:rPr>
          <w:rStyle w:val="FootnoteReference"/>
        </w:rPr>
        <w:footnoteRef/>
      </w:r>
      <w:r w:rsidRPr="003A6EF4">
        <w:t xml:space="preserve"> Clarification Question &amp; Answer 16.</w:t>
      </w:r>
    </w:p>
  </w:footnote>
  <w:footnote w:id="106">
    <w:p w:rsidR="00271D38" w:rsidRPr="00146359" w:rsidRDefault="00271D38" w:rsidP="00BC11BC">
      <w:pPr>
        <w:pStyle w:val="FootnoteText"/>
        <w:ind w:left="284" w:hanging="284"/>
        <w:jc w:val="both"/>
      </w:pPr>
      <w:r w:rsidRPr="003A6EF4">
        <w:rPr>
          <w:rStyle w:val="FootnoteReference"/>
        </w:rPr>
        <w:footnoteRef/>
      </w:r>
      <w:r w:rsidRPr="00371348">
        <w:rPr>
          <w:lang w:val="pt-BR"/>
        </w:rPr>
        <w:t xml:space="preserve"> </w:t>
      </w:r>
      <w:r w:rsidRPr="00371348">
        <w:rPr>
          <w:i/>
          <w:lang w:val="pt-BR"/>
        </w:rPr>
        <w:t>SERAC v. Nigeria</w:t>
      </w:r>
      <w:r w:rsidRPr="00371348">
        <w:rPr>
          <w:lang w:val="pt-BR"/>
        </w:rPr>
        <w:t xml:space="preserve">, Case No. ACHPR/COMM/A044/1, Afr. </w:t>
      </w:r>
      <w:r w:rsidRPr="003A6EF4">
        <w:t>Comm’n Human &amp; Peoples’ Rights ¶ 46 (May 27, 2002).</w:t>
      </w:r>
    </w:p>
  </w:footnote>
  <w:footnote w:id="107">
    <w:p w:rsidR="00271D38" w:rsidRDefault="00271D38" w:rsidP="009D7430">
      <w:pPr>
        <w:pStyle w:val="FootnoteText"/>
        <w:jc w:val="both"/>
      </w:pPr>
      <w:r>
        <w:rPr>
          <w:rStyle w:val="FootnoteReference"/>
        </w:rPr>
        <w:footnoteRef/>
      </w:r>
      <w:r>
        <w:t xml:space="preserve"> Clarification Question &amp; Answer 1.</w:t>
      </w:r>
    </w:p>
  </w:footnote>
  <w:footnote w:id="108">
    <w:p w:rsidR="00271D38" w:rsidRPr="00FD61CA" w:rsidRDefault="00271D38" w:rsidP="002005B8">
      <w:pPr>
        <w:pStyle w:val="FootnoteText"/>
        <w:ind w:left="284" w:hanging="284"/>
        <w:jc w:val="both"/>
      </w:pPr>
      <w:r w:rsidRPr="00FD61CA">
        <w:rPr>
          <w:rStyle w:val="FootnoteReference"/>
        </w:rPr>
        <w:footnoteRef/>
      </w:r>
      <w:r w:rsidRPr="00FD61CA">
        <w:t xml:space="preserve"> </w:t>
      </w:r>
      <w:r w:rsidRPr="00C1709A">
        <w:rPr>
          <w:i/>
          <w:iCs/>
          <w:color w:val="000000" w:themeColor="text1"/>
        </w:rPr>
        <w:t>Case of the Pueblo Bello Massacre v. Colombia</w:t>
      </w:r>
      <w:r>
        <w:rPr>
          <w:color w:val="000000" w:themeColor="text1"/>
          <w:shd w:val="clear" w:color="auto" w:fill="F9F9F9"/>
        </w:rPr>
        <w:t xml:space="preserve"> </w:t>
      </w:r>
      <w:r>
        <w:rPr>
          <w:color w:val="000000" w:themeColor="text1"/>
        </w:rPr>
        <w:t>Serie C No. 140. Inter-American Court of Human Rights (IACrtHR), 31 January 2006.</w:t>
      </w:r>
    </w:p>
  </w:footnote>
  <w:footnote w:id="109">
    <w:p w:rsidR="00271D38" w:rsidRPr="00FD61CA" w:rsidRDefault="00271D38" w:rsidP="003A6EF4">
      <w:pPr>
        <w:pStyle w:val="FootnoteText"/>
        <w:jc w:val="both"/>
      </w:pPr>
      <w:r w:rsidRPr="00FD61CA">
        <w:rPr>
          <w:rStyle w:val="FootnoteReference"/>
        </w:rPr>
        <w:footnoteRef/>
      </w:r>
      <w:r w:rsidRPr="00FD61CA">
        <w:t xml:space="preserve"> Hypothetical Case,</w:t>
      </w:r>
      <w:r>
        <w:t xml:space="preserve"> </w:t>
      </w:r>
      <w:r w:rsidRPr="00FD61CA">
        <w:t>para 13</w:t>
      </w:r>
      <w:r>
        <w:t>.</w:t>
      </w:r>
    </w:p>
  </w:footnote>
  <w:footnote w:id="110">
    <w:p w:rsidR="00271D38" w:rsidRDefault="00271D38" w:rsidP="002005B8">
      <w:pPr>
        <w:pStyle w:val="FootnoteText"/>
        <w:ind w:left="284" w:hanging="284"/>
        <w:jc w:val="both"/>
      </w:pPr>
      <w:r>
        <w:rPr>
          <w:rStyle w:val="FootnoteReference"/>
        </w:rPr>
        <w:footnoteRef/>
      </w:r>
      <w:r>
        <w:t xml:space="preserve"> </w:t>
      </w:r>
      <w:r w:rsidRPr="004D0DDD">
        <w:rPr>
          <w:i/>
        </w:rPr>
        <w:t>US Interdiction of Haitians on the High Seas</w:t>
      </w:r>
      <w:r>
        <w:rPr>
          <w:i/>
        </w:rPr>
        <w:t xml:space="preserve"> </w:t>
      </w:r>
      <w:r w:rsidRPr="004D0DDD">
        <w:rPr>
          <w:color w:val="000000" w:themeColor="text1"/>
        </w:rPr>
        <w:t>(United States) March 13, 1997, Report No. 51/96, Case No. 10.675 para 167.</w:t>
      </w:r>
    </w:p>
  </w:footnote>
  <w:footnote w:id="111">
    <w:p w:rsidR="00271D38" w:rsidRDefault="00271D38" w:rsidP="003A6EF4">
      <w:pPr>
        <w:pStyle w:val="FootnoteText"/>
        <w:jc w:val="both"/>
      </w:pPr>
      <w:r>
        <w:rPr>
          <w:rStyle w:val="FootnoteReference"/>
        </w:rPr>
        <w:footnoteRef/>
      </w:r>
      <w:r>
        <w:t xml:space="preserve"> Clarification Question and Answer 61.</w:t>
      </w:r>
    </w:p>
  </w:footnote>
  <w:footnote w:id="112">
    <w:p w:rsidR="00271D38" w:rsidRPr="00FD61CA" w:rsidRDefault="00271D38" w:rsidP="003A6EF4">
      <w:pPr>
        <w:pStyle w:val="FootnoteText"/>
        <w:jc w:val="both"/>
      </w:pPr>
      <w:r w:rsidRPr="00FD61CA">
        <w:rPr>
          <w:rStyle w:val="FootnoteReference"/>
        </w:rPr>
        <w:footnoteRef/>
      </w:r>
      <w:r w:rsidRPr="00FD61CA">
        <w:t xml:space="preserve"> Hypothetical Case, paras 13-14.</w:t>
      </w:r>
    </w:p>
  </w:footnote>
  <w:footnote w:id="113">
    <w:p w:rsidR="00271D38" w:rsidRPr="00FD61CA" w:rsidRDefault="00271D38" w:rsidP="003A6EF4">
      <w:pPr>
        <w:pStyle w:val="FootnoteText"/>
        <w:jc w:val="both"/>
      </w:pPr>
      <w:r w:rsidRPr="00FD61CA">
        <w:rPr>
          <w:rStyle w:val="FootnoteReference"/>
        </w:rPr>
        <w:footnoteRef/>
      </w:r>
      <w:r w:rsidRPr="00FD61CA">
        <w:t xml:space="preserve"> Hypothetical Case, para 14. </w:t>
      </w:r>
    </w:p>
  </w:footnote>
  <w:footnote w:id="114">
    <w:p w:rsidR="00271D38" w:rsidRDefault="00271D38" w:rsidP="002005B8">
      <w:pPr>
        <w:pStyle w:val="FootnoteText"/>
        <w:jc w:val="both"/>
      </w:pPr>
      <w:r>
        <w:rPr>
          <w:rStyle w:val="FootnoteReference"/>
        </w:rPr>
        <w:footnoteRef/>
      </w:r>
      <w:r>
        <w:t xml:space="preserve"> Hypothetical Case, para 23. </w:t>
      </w:r>
    </w:p>
  </w:footnote>
  <w:footnote w:id="115">
    <w:p w:rsidR="00271D38" w:rsidRPr="00FD61CA" w:rsidRDefault="00271D38" w:rsidP="002005B8">
      <w:pPr>
        <w:pStyle w:val="FootnoteText"/>
        <w:jc w:val="both"/>
      </w:pPr>
      <w:r w:rsidRPr="00FD61CA">
        <w:rPr>
          <w:rStyle w:val="FootnoteReference"/>
        </w:rPr>
        <w:footnoteRef/>
      </w:r>
      <w:r w:rsidRPr="00FD61CA">
        <w:t xml:space="preserve"> Hypothetical Case, para 25.</w:t>
      </w:r>
    </w:p>
  </w:footnote>
  <w:footnote w:id="116">
    <w:p w:rsidR="00271D38" w:rsidRDefault="00271D38" w:rsidP="002005B8">
      <w:pPr>
        <w:pStyle w:val="FootnoteText"/>
        <w:ind w:left="284" w:hanging="284"/>
        <w:jc w:val="both"/>
      </w:pPr>
      <w:r>
        <w:rPr>
          <w:rStyle w:val="FootnoteReference"/>
        </w:rPr>
        <w:footnoteRef/>
      </w:r>
      <w:r>
        <w:t xml:space="preserve"> George A. D’Angelo, “The Contemporary Role of the Military Attaché and Problems relating to the Attachment of a Quality Corps.” Master’s Thesis, Texas Tech University, 1972, p.17; Clarification Question and Answer 2.  </w:t>
      </w:r>
    </w:p>
  </w:footnote>
  <w:footnote w:id="117">
    <w:p w:rsidR="00271D38" w:rsidRPr="00146359" w:rsidRDefault="00271D38" w:rsidP="002005B8">
      <w:pPr>
        <w:pStyle w:val="NormalWeb"/>
        <w:spacing w:before="0" w:beforeAutospacing="0" w:after="0" w:afterAutospacing="0"/>
        <w:ind w:left="284" w:hanging="284"/>
        <w:jc w:val="both"/>
        <w:rPr>
          <w:sz w:val="20"/>
          <w:szCs w:val="20"/>
        </w:rPr>
      </w:pPr>
      <w:r w:rsidRPr="00146359">
        <w:rPr>
          <w:rStyle w:val="FootnoteReference"/>
          <w:sz w:val="20"/>
          <w:szCs w:val="20"/>
        </w:rPr>
        <w:footnoteRef/>
      </w:r>
      <w:r w:rsidRPr="00146359">
        <w:rPr>
          <w:sz w:val="20"/>
          <w:szCs w:val="20"/>
        </w:rPr>
        <w:t xml:space="preserve"> </w:t>
      </w:r>
      <w:r w:rsidRPr="00146359">
        <w:rPr>
          <w:color w:val="000000"/>
          <w:sz w:val="20"/>
          <w:szCs w:val="20"/>
        </w:rPr>
        <w:t xml:space="preserve">Organization of American States (OAS), </w:t>
      </w:r>
      <w:r w:rsidRPr="00146359">
        <w:rPr>
          <w:i/>
          <w:iCs/>
          <w:color w:val="000000"/>
          <w:sz w:val="20"/>
          <w:szCs w:val="20"/>
        </w:rPr>
        <w:t>American Convention on Human Rights, "Pact of San Jose", Costa Rica</w:t>
      </w:r>
      <w:r w:rsidRPr="00146359">
        <w:rPr>
          <w:color w:val="000000"/>
          <w:sz w:val="20"/>
          <w:szCs w:val="20"/>
        </w:rPr>
        <w:t>, 22 November 1969.</w:t>
      </w:r>
    </w:p>
  </w:footnote>
  <w:footnote w:id="118">
    <w:p w:rsidR="00271D38" w:rsidRPr="00146359" w:rsidRDefault="00271D38" w:rsidP="0023780F">
      <w:pPr>
        <w:pStyle w:val="FootnoteText"/>
        <w:ind w:left="284" w:hanging="284"/>
        <w:jc w:val="both"/>
      </w:pPr>
      <w:r w:rsidRPr="00146359">
        <w:rPr>
          <w:rStyle w:val="FootnoteReference"/>
        </w:rPr>
        <w:footnoteRef/>
      </w:r>
      <w:r w:rsidRPr="00146359">
        <w:t xml:space="preserve"> </w:t>
      </w:r>
      <w:r w:rsidRPr="00E2413E">
        <w:rPr>
          <w:i/>
        </w:rPr>
        <w:t>Case of</w:t>
      </w:r>
      <w:r>
        <w:t xml:space="preserve"> </w:t>
      </w:r>
      <w:r w:rsidRPr="00E2413E">
        <w:rPr>
          <w:i/>
        </w:rPr>
        <w:t>Baldeón-García v. Perú</w:t>
      </w:r>
      <w:r>
        <w:t>, Yllaconza Ramirez de Baldeón and ors (on behalf of Baldeón-García) v. Perú, Merits, reparations and costs IACHR Series C No 147 IHRL 1531 (IACHR 2006), 6</w:t>
      </w:r>
      <w:r w:rsidRPr="0023780F">
        <w:rPr>
          <w:vertAlign w:val="superscript"/>
        </w:rPr>
        <w:t>th</w:t>
      </w:r>
      <w:r>
        <w:t xml:space="preserve"> April 2006, Inter-American Court on Human Rights [IACtHR].</w:t>
      </w:r>
    </w:p>
  </w:footnote>
  <w:footnote w:id="119">
    <w:p w:rsidR="00271D38" w:rsidRPr="00146359" w:rsidRDefault="00271D38" w:rsidP="003071A4">
      <w:pPr>
        <w:pStyle w:val="FootnoteText"/>
        <w:jc w:val="both"/>
      </w:pPr>
      <w:r w:rsidRPr="00146359">
        <w:rPr>
          <w:rStyle w:val="FootnoteReference"/>
        </w:rPr>
        <w:footnoteRef/>
      </w:r>
      <w:r>
        <w:rPr>
          <w:rStyle w:val="itemtitle"/>
          <w:color w:val="000000" w:themeColor="text1"/>
        </w:rPr>
        <w:t xml:space="preserve"> Ibid, para 118-122.</w:t>
      </w:r>
    </w:p>
  </w:footnote>
  <w:footnote w:id="120">
    <w:p w:rsidR="00271D38" w:rsidRDefault="00271D38" w:rsidP="003071A4">
      <w:pPr>
        <w:pStyle w:val="FootnoteText"/>
        <w:jc w:val="both"/>
      </w:pPr>
      <w:r>
        <w:rPr>
          <w:rStyle w:val="FootnoteReference"/>
        </w:rPr>
        <w:footnoteRef/>
      </w:r>
      <w:r>
        <w:t xml:space="preserve"> Hypothetical Case, para 17. </w:t>
      </w:r>
    </w:p>
  </w:footnote>
  <w:footnote w:id="121">
    <w:p w:rsidR="00271D38" w:rsidRDefault="00271D38" w:rsidP="003071A4">
      <w:pPr>
        <w:pStyle w:val="FootnoteText"/>
        <w:jc w:val="both"/>
      </w:pPr>
      <w:r>
        <w:rPr>
          <w:rStyle w:val="FootnoteReference"/>
        </w:rPr>
        <w:footnoteRef/>
      </w:r>
      <w:r>
        <w:t xml:space="preserve"> Hypothetical Case, para 23. </w:t>
      </w:r>
    </w:p>
  </w:footnote>
  <w:footnote w:id="122">
    <w:p w:rsidR="00271D38" w:rsidRPr="00FD61CA" w:rsidRDefault="00271D38" w:rsidP="003071A4">
      <w:pPr>
        <w:pStyle w:val="FootnoteText"/>
        <w:jc w:val="both"/>
      </w:pPr>
      <w:r w:rsidRPr="00146359">
        <w:rPr>
          <w:rStyle w:val="FootnoteReference"/>
        </w:rPr>
        <w:footnoteRef/>
      </w:r>
      <w:r w:rsidRPr="00146359">
        <w:t xml:space="preserve"> Hypothetical Case, para 23.</w:t>
      </w:r>
    </w:p>
  </w:footnote>
  <w:footnote w:id="123">
    <w:p w:rsidR="00271D38" w:rsidRPr="00146359" w:rsidRDefault="00271D38" w:rsidP="003071A4">
      <w:pPr>
        <w:pStyle w:val="FootnoteText"/>
        <w:ind w:left="284" w:hanging="284"/>
        <w:jc w:val="both"/>
      </w:pPr>
      <w:r w:rsidRPr="00146359">
        <w:rPr>
          <w:rStyle w:val="FootnoteReference"/>
        </w:rPr>
        <w:footnoteRef/>
      </w:r>
      <w:r w:rsidRPr="00146359">
        <w:t xml:space="preserve"> </w:t>
      </w:r>
      <w:r w:rsidRPr="00146359">
        <w:rPr>
          <w:color w:val="000000"/>
        </w:rPr>
        <w:t xml:space="preserve">Organization of American States (OAS), </w:t>
      </w:r>
      <w:r w:rsidRPr="00146359">
        <w:rPr>
          <w:i/>
          <w:iCs/>
          <w:color w:val="000000"/>
        </w:rPr>
        <w:t>American Convention on Human Rights, "Pact of San Jose", Costa Rica</w:t>
      </w:r>
      <w:r w:rsidRPr="00146359">
        <w:rPr>
          <w:color w:val="000000"/>
        </w:rPr>
        <w:t>, 22 November 1969.</w:t>
      </w:r>
    </w:p>
  </w:footnote>
  <w:footnote w:id="124">
    <w:p w:rsidR="00271D38" w:rsidRPr="00821985" w:rsidRDefault="00271D38" w:rsidP="003071A4">
      <w:pPr>
        <w:pStyle w:val="FootnoteText"/>
        <w:jc w:val="both"/>
      </w:pPr>
      <w:r w:rsidRPr="00821985">
        <w:rPr>
          <w:rStyle w:val="FootnoteReference"/>
        </w:rPr>
        <w:footnoteRef/>
      </w:r>
      <w:r w:rsidRPr="00821985">
        <w:t xml:space="preserve"> </w:t>
      </w:r>
      <w:r>
        <w:rPr>
          <w:i/>
          <w:iCs/>
          <w:color w:val="000000" w:themeColor="text1"/>
        </w:rPr>
        <w:t>Gomez Palomino v. Perú</w:t>
      </w:r>
      <w:r w:rsidRPr="00821985">
        <w:rPr>
          <w:iCs/>
          <w:color w:val="000000" w:themeColor="text1"/>
        </w:rPr>
        <w:t xml:space="preserve">, </w:t>
      </w:r>
      <w:r w:rsidRPr="00821985">
        <w:rPr>
          <w:bCs/>
          <w:iCs/>
          <w:color w:val="000000" w:themeColor="text1"/>
        </w:rPr>
        <w:t>Merits, Reparations and Courts) IACtHR, Judgment of November 22 2005.</w:t>
      </w:r>
    </w:p>
  </w:footnote>
  <w:footnote w:id="125">
    <w:p w:rsidR="00271D38" w:rsidRPr="00821985" w:rsidRDefault="00271D38" w:rsidP="003071A4">
      <w:pPr>
        <w:spacing w:after="0" w:line="240" w:lineRule="auto"/>
        <w:jc w:val="both"/>
        <w:rPr>
          <w:bCs/>
          <w:iCs/>
          <w:color w:val="000000" w:themeColor="text1"/>
          <w:sz w:val="20"/>
          <w:szCs w:val="20"/>
        </w:rPr>
      </w:pPr>
      <w:r w:rsidRPr="00821985">
        <w:rPr>
          <w:rStyle w:val="FootnoteReference"/>
          <w:sz w:val="20"/>
          <w:szCs w:val="20"/>
        </w:rPr>
        <w:footnoteRef/>
      </w:r>
      <w:r w:rsidRPr="00821985">
        <w:rPr>
          <w:sz w:val="20"/>
          <w:szCs w:val="20"/>
        </w:rPr>
        <w:t xml:space="preserve"> </w:t>
      </w:r>
      <w:r w:rsidRPr="00821985">
        <w:rPr>
          <w:iCs/>
          <w:color w:val="000000" w:themeColor="text1"/>
          <w:sz w:val="20"/>
          <w:szCs w:val="20"/>
        </w:rPr>
        <w:t>Ibid.</w:t>
      </w:r>
    </w:p>
  </w:footnote>
  <w:footnote w:id="126">
    <w:p w:rsidR="00271D38" w:rsidRPr="00146359" w:rsidRDefault="00271D38" w:rsidP="003071A4">
      <w:pPr>
        <w:pStyle w:val="FootnoteText"/>
        <w:jc w:val="both"/>
      </w:pPr>
      <w:r w:rsidRPr="00821985">
        <w:rPr>
          <w:rStyle w:val="FootnoteReference"/>
        </w:rPr>
        <w:footnoteRef/>
      </w:r>
      <w:r w:rsidRPr="00821985">
        <w:rPr>
          <w:iCs/>
          <w:color w:val="000000" w:themeColor="text1"/>
        </w:rPr>
        <w:t>Ibid</w:t>
      </w:r>
      <w:r w:rsidRPr="00821985">
        <w:rPr>
          <w:bCs/>
          <w:iCs/>
          <w:color w:val="000000" w:themeColor="text1"/>
        </w:rPr>
        <w:t>, para 67.</w:t>
      </w:r>
    </w:p>
  </w:footnote>
  <w:footnote w:id="127">
    <w:p w:rsidR="00271D38" w:rsidRPr="008F46F5" w:rsidRDefault="00271D38" w:rsidP="002005B8">
      <w:pPr>
        <w:pStyle w:val="FootnoteText"/>
        <w:jc w:val="both"/>
      </w:pPr>
      <w:r w:rsidRPr="008F46F5">
        <w:rPr>
          <w:rStyle w:val="FootnoteReference"/>
        </w:rPr>
        <w:footnoteRef/>
      </w:r>
      <w:r w:rsidRPr="008F46F5">
        <w:t xml:space="preserve"> Hypothetical Case, para 24-25.</w:t>
      </w:r>
    </w:p>
  </w:footnote>
  <w:footnote w:id="128">
    <w:p w:rsidR="00271D38" w:rsidRDefault="00271D38" w:rsidP="002005B8">
      <w:pPr>
        <w:pStyle w:val="FootnoteText"/>
        <w:jc w:val="both"/>
      </w:pPr>
      <w:r>
        <w:rPr>
          <w:rStyle w:val="FootnoteReference"/>
        </w:rPr>
        <w:footnoteRef/>
      </w:r>
      <w:r>
        <w:t xml:space="preserve"> Clarification Question and Answer 16.</w:t>
      </w:r>
    </w:p>
  </w:footnote>
  <w:footnote w:id="129">
    <w:p w:rsidR="00271D38" w:rsidRPr="00163B9E" w:rsidRDefault="00271D38" w:rsidP="00210303">
      <w:pPr>
        <w:pStyle w:val="FootnoteText"/>
        <w:jc w:val="both"/>
      </w:pPr>
      <w:r w:rsidRPr="00163B9E">
        <w:rPr>
          <w:rStyle w:val="FootnoteReference"/>
        </w:rPr>
        <w:footnoteRef/>
      </w:r>
      <w:r>
        <w:t xml:space="preserve"> American Convention, a</w:t>
      </w:r>
      <w:r w:rsidRPr="00163B9E">
        <w:t>rticle 16.</w:t>
      </w:r>
    </w:p>
  </w:footnote>
  <w:footnote w:id="130">
    <w:p w:rsidR="00271D38" w:rsidRPr="00163B9E" w:rsidRDefault="00271D38" w:rsidP="000E1FEF">
      <w:pPr>
        <w:pStyle w:val="FootnoteText"/>
        <w:ind w:left="284" w:hanging="284"/>
        <w:jc w:val="both"/>
      </w:pPr>
      <w:r w:rsidRPr="00163B9E">
        <w:rPr>
          <w:rStyle w:val="FootnoteReference"/>
        </w:rPr>
        <w:footnoteRef/>
      </w:r>
      <w:r w:rsidRPr="00163B9E">
        <w:t xml:space="preserve"> Preliminary Objections, Merits, Reparations and Costs, IACHR, Series C No 167, IHRL 3050 (IACHR 2007), </w:t>
      </w:r>
      <w:r>
        <w:t xml:space="preserve">  </w:t>
      </w:r>
      <w:r w:rsidRPr="00163B9E">
        <w:t>10</w:t>
      </w:r>
      <w:r w:rsidRPr="00163B9E">
        <w:rPr>
          <w:vertAlign w:val="superscript"/>
        </w:rPr>
        <w:t>th</w:t>
      </w:r>
      <w:r w:rsidRPr="00163B9E">
        <w:t xml:space="preserve"> July 2007, Inter-American Court of Human Rights [IACtHR]</w:t>
      </w:r>
      <w:r>
        <w:t>.</w:t>
      </w:r>
    </w:p>
  </w:footnote>
  <w:footnote w:id="131">
    <w:p w:rsidR="00271D38" w:rsidRPr="00163B9E" w:rsidRDefault="00271D38" w:rsidP="000E1FEF">
      <w:pPr>
        <w:pStyle w:val="FootnoteText"/>
        <w:ind w:left="284" w:hanging="284"/>
        <w:jc w:val="both"/>
      </w:pPr>
      <w:r w:rsidRPr="00163B9E">
        <w:rPr>
          <w:rStyle w:val="FootnoteReference"/>
        </w:rPr>
        <w:footnoteRef/>
      </w:r>
      <w:r w:rsidRPr="00163B9E">
        <w:t xml:space="preserve"> Preliminary Objections, Merits, Reparations and Costs, IACHR, Series C No 167, IHRL 3050 (IACHR 2007), 10</w:t>
      </w:r>
      <w:r w:rsidRPr="00163B9E">
        <w:rPr>
          <w:vertAlign w:val="superscript"/>
        </w:rPr>
        <w:t>th</w:t>
      </w:r>
      <w:r w:rsidRPr="00163B9E">
        <w:t xml:space="preserve"> July 2007, Inter-American Court of Human Rights [IACtHR], para</w:t>
      </w:r>
      <w:r>
        <w:t>s 60 and 147.</w:t>
      </w:r>
    </w:p>
  </w:footnote>
  <w:footnote w:id="132">
    <w:p w:rsidR="00271D38" w:rsidRPr="00163B9E" w:rsidRDefault="00271D38" w:rsidP="000E1FEF">
      <w:pPr>
        <w:pStyle w:val="FootnoteText"/>
        <w:ind w:left="284" w:hanging="284"/>
        <w:jc w:val="both"/>
      </w:pPr>
      <w:r w:rsidRPr="00163B9E">
        <w:rPr>
          <w:rStyle w:val="FootnoteReference"/>
        </w:rPr>
        <w:footnoteRef/>
      </w:r>
      <w:r w:rsidRPr="00163B9E">
        <w:t xml:space="preserve"> Preliminary Objections, Merits, Reparations and Costs, IACHR, Series C No 167, IHRL 3050 (IACHR 2007), 10</w:t>
      </w:r>
      <w:r w:rsidRPr="00163B9E">
        <w:rPr>
          <w:vertAlign w:val="superscript"/>
        </w:rPr>
        <w:t>th</w:t>
      </w:r>
      <w:r w:rsidRPr="00163B9E">
        <w:t xml:space="preserve"> July 2007, Inter-American Court of Human Rights [IACtHR], para 146</w:t>
      </w:r>
      <w:r>
        <w:t>.</w:t>
      </w:r>
    </w:p>
  </w:footnote>
  <w:footnote w:id="133">
    <w:p w:rsidR="00271D38" w:rsidRPr="002005B8" w:rsidRDefault="00271D38" w:rsidP="002005B8">
      <w:pPr>
        <w:pStyle w:val="FootnoteText"/>
        <w:jc w:val="both"/>
      </w:pPr>
      <w:r w:rsidRPr="002005B8">
        <w:rPr>
          <w:rStyle w:val="FootnoteReference"/>
        </w:rPr>
        <w:footnoteRef/>
      </w:r>
      <w:r w:rsidRPr="002005B8">
        <w:t xml:space="preserve"> </w:t>
      </w:r>
      <w:r w:rsidRPr="002005B8">
        <w:rPr>
          <w:i/>
        </w:rPr>
        <w:t>Chitay Nech et al v. Guatemala</w:t>
      </w:r>
      <w:r w:rsidRPr="002005B8">
        <w:t>, Serie</w:t>
      </w:r>
      <w:r>
        <w:t>s</w:t>
      </w:r>
      <w:r w:rsidRPr="002005B8">
        <w:t xml:space="preserve"> C. 212, Inter-American Court of Human Rights, 25 May, 2010. </w:t>
      </w:r>
    </w:p>
  </w:footnote>
  <w:footnote w:id="134">
    <w:p w:rsidR="00271D38" w:rsidRPr="002005B8" w:rsidRDefault="00271D38" w:rsidP="002005B8">
      <w:pPr>
        <w:pStyle w:val="FootnoteText"/>
        <w:jc w:val="both"/>
      </w:pPr>
      <w:r w:rsidRPr="002005B8">
        <w:rPr>
          <w:rStyle w:val="FootnoteReference"/>
        </w:rPr>
        <w:footnoteRef/>
      </w:r>
      <w:r w:rsidRPr="002005B8">
        <w:t xml:space="preserve"> </w:t>
      </w:r>
      <w:r w:rsidRPr="002005B8">
        <w:rPr>
          <w:i/>
        </w:rPr>
        <w:t>Chitay Nech et al v. Guatemala</w:t>
      </w:r>
      <w:r w:rsidRPr="002005B8">
        <w:t>, Serie</w:t>
      </w:r>
      <w:r>
        <w:t>s</w:t>
      </w:r>
      <w:r w:rsidRPr="002005B8">
        <w:t xml:space="preserve"> C. 212, Inter-American Court of Human Rights, 25 May, 2010, para 156. </w:t>
      </w:r>
    </w:p>
  </w:footnote>
  <w:footnote w:id="135">
    <w:p w:rsidR="00271D38" w:rsidRPr="002005B8" w:rsidRDefault="00271D38" w:rsidP="002005B8">
      <w:pPr>
        <w:pStyle w:val="FootnoteText"/>
        <w:ind w:left="284" w:hanging="284"/>
        <w:jc w:val="both"/>
      </w:pPr>
      <w:r w:rsidRPr="002005B8">
        <w:rPr>
          <w:rStyle w:val="FootnoteReference"/>
        </w:rPr>
        <w:footnoteRef/>
      </w:r>
      <w:r w:rsidRPr="002005B8">
        <w:t xml:space="preserve"> Ibid.</w:t>
      </w:r>
    </w:p>
  </w:footnote>
  <w:footnote w:id="136">
    <w:p w:rsidR="00271D38" w:rsidRPr="002005B8" w:rsidRDefault="00271D38" w:rsidP="002005B8">
      <w:pPr>
        <w:pStyle w:val="FootnoteText"/>
        <w:ind w:left="284" w:hanging="284"/>
        <w:jc w:val="both"/>
      </w:pPr>
      <w:r w:rsidRPr="002005B8">
        <w:rPr>
          <w:rStyle w:val="FootnoteReference"/>
        </w:rPr>
        <w:footnoteRef/>
      </w:r>
      <w:r>
        <w:t xml:space="preserve"> </w:t>
      </w:r>
      <w:r w:rsidRPr="002005B8">
        <w:t>Ibid, para 157.</w:t>
      </w:r>
    </w:p>
  </w:footnote>
  <w:footnote w:id="137">
    <w:p w:rsidR="00271D38" w:rsidRPr="002005B8" w:rsidRDefault="00271D38" w:rsidP="002005B8">
      <w:pPr>
        <w:pStyle w:val="FootnoteText"/>
        <w:jc w:val="both"/>
      </w:pPr>
      <w:r w:rsidRPr="002005B8">
        <w:rPr>
          <w:rStyle w:val="FootnoteReference"/>
        </w:rPr>
        <w:footnoteRef/>
      </w:r>
      <w:r w:rsidRPr="002005B8">
        <w:t xml:space="preserve"> Clarification Question and Answer 34.</w:t>
      </w:r>
    </w:p>
  </w:footnote>
  <w:footnote w:id="138">
    <w:p w:rsidR="00271D38" w:rsidRPr="002005B8" w:rsidRDefault="00271D38" w:rsidP="002005B8">
      <w:pPr>
        <w:pStyle w:val="FootnoteText"/>
        <w:jc w:val="both"/>
      </w:pPr>
      <w:r w:rsidRPr="002005B8">
        <w:rPr>
          <w:rStyle w:val="FootnoteReference"/>
        </w:rPr>
        <w:footnoteRef/>
      </w:r>
      <w:r w:rsidRPr="002005B8">
        <w:t xml:space="preserve"> Hypothetical Case, para 17.</w:t>
      </w:r>
    </w:p>
  </w:footnote>
  <w:footnote w:id="139">
    <w:p w:rsidR="00271D38" w:rsidRPr="002005B8" w:rsidRDefault="00271D38" w:rsidP="00E2413E">
      <w:pPr>
        <w:pStyle w:val="FootnoteText"/>
        <w:ind w:left="284" w:hanging="284"/>
        <w:jc w:val="both"/>
      </w:pPr>
      <w:r w:rsidRPr="002005B8">
        <w:rPr>
          <w:rStyle w:val="FootnoteReference"/>
        </w:rPr>
        <w:footnoteRef/>
      </w:r>
      <w:r>
        <w:t xml:space="preserve"> </w:t>
      </w:r>
      <w:r w:rsidRPr="003A2900">
        <w:t xml:space="preserve">Organization of American States (OAS), </w:t>
      </w:r>
      <w:r w:rsidRPr="003A2900">
        <w:rPr>
          <w:i/>
          <w:iCs/>
        </w:rPr>
        <w:t>American Convention on Human Rights, "Pact of San Jose", Costa Rica</w:t>
      </w:r>
      <w:r w:rsidRPr="003A2900">
        <w:t>, 22 November 1969.</w:t>
      </w:r>
    </w:p>
  </w:footnote>
  <w:footnote w:id="140">
    <w:p w:rsidR="00271D38" w:rsidRPr="002005B8" w:rsidRDefault="00271D38" w:rsidP="00FF5E23">
      <w:pPr>
        <w:pStyle w:val="FootnoteText"/>
        <w:jc w:val="both"/>
      </w:pPr>
      <w:r w:rsidRPr="002005B8">
        <w:rPr>
          <w:rStyle w:val="FootnoteReference"/>
        </w:rPr>
        <w:footnoteRef/>
      </w:r>
      <w:r w:rsidRPr="002005B8">
        <w:t xml:space="preserve"> </w:t>
      </w:r>
      <w:r>
        <w:rPr>
          <w:color w:val="000000"/>
        </w:rPr>
        <w:t>Ibid.</w:t>
      </w:r>
    </w:p>
  </w:footnote>
  <w:footnote w:id="141">
    <w:p w:rsidR="00271D38" w:rsidRDefault="00271D38" w:rsidP="00FF5E23">
      <w:pPr>
        <w:pStyle w:val="FootnoteText"/>
        <w:jc w:val="both"/>
      </w:pPr>
      <w:r w:rsidRPr="002005B8">
        <w:rPr>
          <w:rStyle w:val="FootnoteReference"/>
        </w:rPr>
        <w:footnoteRef/>
      </w:r>
      <w:r w:rsidRPr="002005B8">
        <w:t xml:space="preserve"> </w:t>
      </w:r>
      <w:r>
        <w:rPr>
          <w:color w:val="000000"/>
        </w:rPr>
        <w:t>Ibid.</w:t>
      </w:r>
    </w:p>
  </w:footnote>
  <w:footnote w:id="142">
    <w:p w:rsidR="00271D38" w:rsidRPr="005122B3" w:rsidRDefault="00271D38" w:rsidP="00FF5E23">
      <w:pPr>
        <w:pStyle w:val="FootnoteText"/>
        <w:ind w:left="284" w:hanging="284"/>
        <w:jc w:val="both"/>
      </w:pPr>
      <w:r w:rsidRPr="005122B3">
        <w:rPr>
          <w:rStyle w:val="FootnoteReference"/>
        </w:rPr>
        <w:footnoteRef/>
      </w:r>
      <w:r w:rsidRPr="005122B3">
        <w:t xml:space="preserve"> </w:t>
      </w:r>
      <w:r w:rsidRPr="005122B3">
        <w:rPr>
          <w:color w:val="000000"/>
        </w:rPr>
        <w:t xml:space="preserve">Organization of American States (OAS), </w:t>
      </w:r>
      <w:r w:rsidRPr="005122B3">
        <w:rPr>
          <w:i/>
          <w:iCs/>
          <w:color w:val="000000"/>
        </w:rPr>
        <w:t>American Convention on Human Rights, "Pact of San Jose", Costa Rica</w:t>
      </w:r>
      <w:r w:rsidRPr="005122B3">
        <w:rPr>
          <w:color w:val="000000"/>
        </w:rPr>
        <w:t>, 22 November 1969.</w:t>
      </w:r>
    </w:p>
  </w:footnote>
  <w:footnote w:id="143">
    <w:p w:rsidR="00271D38" w:rsidRPr="005122B3" w:rsidRDefault="00271D38" w:rsidP="00FF5E23">
      <w:pPr>
        <w:pStyle w:val="FootnoteText"/>
        <w:jc w:val="both"/>
      </w:pPr>
      <w:r w:rsidRPr="005122B3">
        <w:rPr>
          <w:rStyle w:val="FootnoteReference"/>
        </w:rPr>
        <w:footnoteRef/>
      </w:r>
      <w:r w:rsidRPr="005122B3">
        <w:t xml:space="preserve"> </w:t>
      </w:r>
      <w:r>
        <w:rPr>
          <w:color w:val="000000"/>
        </w:rPr>
        <w:t>Ibid.</w:t>
      </w:r>
    </w:p>
  </w:footnote>
  <w:footnote w:id="144">
    <w:p w:rsidR="00271D38" w:rsidRPr="005122B3" w:rsidRDefault="00271D38" w:rsidP="00FF5E23">
      <w:pPr>
        <w:pStyle w:val="FootnoteText"/>
        <w:ind w:left="284" w:hanging="284"/>
        <w:jc w:val="both"/>
      </w:pPr>
      <w:r w:rsidRPr="005122B3">
        <w:rPr>
          <w:rStyle w:val="FootnoteReference"/>
        </w:rPr>
        <w:footnoteRef/>
      </w:r>
      <w:r w:rsidRPr="005122B3">
        <w:t xml:space="preserve"> </w:t>
      </w:r>
      <w:r w:rsidRPr="005122B3">
        <w:rPr>
          <w:i/>
          <w:color w:val="000000" w:themeColor="text1"/>
          <w:shd w:val="clear" w:color="auto" w:fill="FFFFFF"/>
        </w:rPr>
        <w:t>Baldeón-</w:t>
      </w:r>
      <w:r w:rsidRPr="005122B3">
        <w:rPr>
          <w:rStyle w:val="Emphasis"/>
          <w:bCs/>
          <w:color w:val="000000" w:themeColor="text1"/>
          <w:shd w:val="clear" w:color="auto" w:fill="FFFFFF"/>
        </w:rPr>
        <w:t>García v</w:t>
      </w:r>
      <w:r w:rsidRPr="005122B3">
        <w:rPr>
          <w:i/>
          <w:color w:val="000000" w:themeColor="text1"/>
          <w:shd w:val="clear" w:color="auto" w:fill="FFFFFF"/>
        </w:rPr>
        <w:t>.</w:t>
      </w:r>
      <w:r w:rsidRPr="005122B3">
        <w:rPr>
          <w:rStyle w:val="apple-converted-space"/>
          <w:i/>
          <w:color w:val="000000" w:themeColor="text1"/>
          <w:shd w:val="clear" w:color="auto" w:fill="FFFFFF"/>
        </w:rPr>
        <w:t> </w:t>
      </w:r>
      <w:r w:rsidRPr="005122B3">
        <w:rPr>
          <w:rStyle w:val="Emphasis"/>
          <w:bCs/>
          <w:color w:val="000000" w:themeColor="text1"/>
          <w:shd w:val="clear" w:color="auto" w:fill="FFFFFF"/>
        </w:rPr>
        <w:t>Perú</w:t>
      </w:r>
      <w:r w:rsidRPr="005122B3">
        <w:rPr>
          <w:color w:val="000000" w:themeColor="text1"/>
        </w:rPr>
        <w:t xml:space="preserve">, </w:t>
      </w:r>
      <w:r w:rsidRPr="005122B3">
        <w:rPr>
          <w:rStyle w:val="itemtitle"/>
          <w:color w:val="000000" w:themeColor="text1"/>
        </w:rPr>
        <w:t>Yllaconza Ramirez de Baldeón and ors (on behalf of Baldeón García) v Peru, Merits, reparations and costs, IACHR Series C No 147, IHRL 1531 (IACHR 2006), 6th April 2006, Inter-American Court of Human Rights [IACtHR], para 151.</w:t>
      </w:r>
    </w:p>
  </w:footnote>
  <w:footnote w:id="145">
    <w:p w:rsidR="00271D38" w:rsidRPr="00800D34" w:rsidRDefault="00271D38" w:rsidP="00FF5E23">
      <w:pPr>
        <w:pStyle w:val="FootnoteText"/>
        <w:tabs>
          <w:tab w:val="left" w:pos="1595"/>
        </w:tabs>
        <w:jc w:val="both"/>
        <w:rPr>
          <w:sz w:val="24"/>
          <w:szCs w:val="24"/>
        </w:rPr>
      </w:pPr>
      <w:r w:rsidRPr="005122B3">
        <w:rPr>
          <w:rStyle w:val="FootnoteReference"/>
        </w:rPr>
        <w:footnoteRef/>
      </w:r>
      <w:r w:rsidRPr="002005B8">
        <w:t xml:space="preserve"> </w:t>
      </w:r>
      <w:r w:rsidRPr="002005B8">
        <w:rPr>
          <w:color w:val="000000" w:themeColor="text1"/>
          <w:shd w:val="clear" w:color="auto" w:fill="FFFFFF"/>
        </w:rPr>
        <w:t>Ibid</w:t>
      </w:r>
      <w:r>
        <w:rPr>
          <w:color w:val="000000" w:themeColor="text1"/>
          <w:shd w:val="clear" w:color="auto" w:fill="FFFFFF"/>
        </w:rPr>
        <w:t>.</w:t>
      </w:r>
      <w:r>
        <w:rPr>
          <w:color w:val="000000" w:themeColor="text1"/>
          <w:shd w:val="clear" w:color="auto" w:fill="FFFFFF"/>
        </w:rPr>
        <w:tab/>
      </w:r>
    </w:p>
  </w:footnote>
  <w:footnote w:id="146">
    <w:p w:rsidR="00271D38" w:rsidRPr="00210303" w:rsidRDefault="00271D38" w:rsidP="00FF5E23">
      <w:pPr>
        <w:pStyle w:val="FootnoteText"/>
        <w:jc w:val="both"/>
      </w:pPr>
      <w:r w:rsidRPr="00210303">
        <w:rPr>
          <w:rStyle w:val="FootnoteReference"/>
        </w:rPr>
        <w:footnoteRef/>
      </w:r>
      <w:r w:rsidRPr="00210303">
        <w:t xml:space="preserve"> </w:t>
      </w:r>
      <w:r w:rsidRPr="002005B8">
        <w:rPr>
          <w:color w:val="000000" w:themeColor="text1"/>
          <w:shd w:val="clear" w:color="auto" w:fill="FFFFFF"/>
        </w:rPr>
        <w:t>Ibid,</w:t>
      </w:r>
      <w:r>
        <w:rPr>
          <w:color w:val="000000" w:themeColor="text1"/>
          <w:shd w:val="clear" w:color="auto" w:fill="FFFFFF"/>
        </w:rPr>
        <w:t xml:space="preserve"> </w:t>
      </w:r>
      <w:r w:rsidRPr="002005B8">
        <w:rPr>
          <w:rStyle w:val="itemtitle"/>
          <w:color w:val="000000" w:themeColor="text1"/>
        </w:rPr>
        <w:t>para 152.</w:t>
      </w:r>
    </w:p>
  </w:footnote>
  <w:footnote w:id="147">
    <w:p w:rsidR="00271D38" w:rsidRPr="00210303" w:rsidRDefault="00271D38" w:rsidP="00737915">
      <w:pPr>
        <w:pStyle w:val="FootnoteText"/>
        <w:jc w:val="both"/>
      </w:pPr>
      <w:r w:rsidRPr="00210303">
        <w:rPr>
          <w:rStyle w:val="FootnoteReference"/>
        </w:rPr>
        <w:footnoteRef/>
      </w:r>
      <w:r w:rsidRPr="00210303">
        <w:t xml:space="preserve"> </w:t>
      </w:r>
      <w:r w:rsidRPr="00210303">
        <w:rPr>
          <w:i/>
        </w:rPr>
        <w:t>Us Interdiction of Haitians on High Seas</w:t>
      </w:r>
      <w:r w:rsidRPr="00210303">
        <w:t>,(United States) March 13, 1997, Report No 51/96 Case No. 10.675.</w:t>
      </w:r>
    </w:p>
  </w:footnote>
  <w:footnote w:id="148">
    <w:p w:rsidR="00271D38" w:rsidRPr="00210303" w:rsidRDefault="00271D38" w:rsidP="00737915">
      <w:pPr>
        <w:pStyle w:val="FootnoteText"/>
        <w:ind w:left="284" w:hanging="284"/>
        <w:jc w:val="both"/>
      </w:pPr>
      <w:r w:rsidRPr="00210303">
        <w:rPr>
          <w:rStyle w:val="FootnoteReference"/>
        </w:rPr>
        <w:footnoteRef/>
      </w:r>
      <w:r>
        <w:rPr>
          <w:i/>
          <w:color w:val="000000" w:themeColor="text1"/>
          <w:shd w:val="clear" w:color="auto" w:fill="FFFFFF"/>
        </w:rPr>
        <w:t xml:space="preserve"> </w:t>
      </w:r>
      <w:r w:rsidRPr="00210303">
        <w:rPr>
          <w:i/>
          <w:color w:val="000000" w:themeColor="text1"/>
          <w:shd w:val="clear" w:color="auto" w:fill="FFFFFF"/>
        </w:rPr>
        <w:t>Baldeón-</w:t>
      </w:r>
      <w:r w:rsidRPr="00210303">
        <w:rPr>
          <w:rStyle w:val="Emphasis"/>
          <w:bCs/>
          <w:color w:val="000000" w:themeColor="text1"/>
          <w:shd w:val="clear" w:color="auto" w:fill="FFFFFF"/>
        </w:rPr>
        <w:t>García v</w:t>
      </w:r>
      <w:r w:rsidRPr="00210303">
        <w:rPr>
          <w:i/>
          <w:color w:val="000000" w:themeColor="text1"/>
          <w:shd w:val="clear" w:color="auto" w:fill="FFFFFF"/>
        </w:rPr>
        <w:t>.</w:t>
      </w:r>
      <w:r w:rsidRPr="00210303">
        <w:rPr>
          <w:rStyle w:val="apple-converted-space"/>
          <w:i/>
          <w:color w:val="000000" w:themeColor="text1"/>
          <w:shd w:val="clear" w:color="auto" w:fill="FFFFFF"/>
        </w:rPr>
        <w:t> </w:t>
      </w:r>
      <w:r w:rsidRPr="00210303">
        <w:rPr>
          <w:rStyle w:val="Emphasis"/>
          <w:bCs/>
          <w:color w:val="000000" w:themeColor="text1"/>
          <w:shd w:val="clear" w:color="auto" w:fill="FFFFFF"/>
        </w:rPr>
        <w:t>Perú</w:t>
      </w:r>
      <w:r w:rsidRPr="00210303">
        <w:rPr>
          <w:color w:val="000000" w:themeColor="text1"/>
        </w:rPr>
        <w:t xml:space="preserve">, </w:t>
      </w:r>
      <w:r w:rsidRPr="00210303">
        <w:rPr>
          <w:rStyle w:val="itemtitle"/>
          <w:color w:val="000000" w:themeColor="text1"/>
        </w:rPr>
        <w:t xml:space="preserve">Yllaconza Ramirez de Baldeón and ors (on behalf of Baldeón García) v Peru, Merits, reparations and costs, IACHR Series C No 147, IHRL 1531 (IACHR 2006), 6th April 2006, Inter-American Court of Human Rights [IACtHR], </w:t>
      </w:r>
      <w:r>
        <w:t>p</w:t>
      </w:r>
      <w:r w:rsidRPr="00210303">
        <w:t>ara 152.</w:t>
      </w:r>
    </w:p>
  </w:footnote>
  <w:footnote w:id="149">
    <w:p w:rsidR="00271D38" w:rsidRPr="004A50E9" w:rsidRDefault="00271D38" w:rsidP="00737915">
      <w:pPr>
        <w:pStyle w:val="FootnoteText"/>
        <w:jc w:val="both"/>
      </w:pPr>
      <w:r w:rsidRPr="00210303">
        <w:rPr>
          <w:rStyle w:val="FootnoteReference"/>
        </w:rPr>
        <w:footnoteRef/>
      </w:r>
      <w:r w:rsidRPr="00210303">
        <w:t xml:space="preserve"> Hypothetical Case, para 27.</w:t>
      </w:r>
    </w:p>
  </w:footnote>
  <w:footnote w:id="150">
    <w:p w:rsidR="00271D38" w:rsidRPr="004A50E9" w:rsidRDefault="00271D38" w:rsidP="00737915">
      <w:pPr>
        <w:pStyle w:val="FootnoteText"/>
        <w:ind w:left="284" w:hanging="284"/>
        <w:jc w:val="both"/>
      </w:pPr>
      <w:r w:rsidRPr="004A50E9">
        <w:rPr>
          <w:rStyle w:val="FootnoteReference"/>
        </w:rPr>
        <w:footnoteRef/>
      </w:r>
      <w:r w:rsidRPr="004A50E9">
        <w:t xml:space="preserve"> </w:t>
      </w:r>
      <w:r w:rsidRPr="004A50E9">
        <w:rPr>
          <w:i/>
          <w:color w:val="000000" w:themeColor="text1"/>
          <w:shd w:val="clear" w:color="auto" w:fill="FFFFFF"/>
        </w:rPr>
        <w:t>Baldeón-</w:t>
      </w:r>
      <w:r w:rsidRPr="004A50E9">
        <w:rPr>
          <w:rStyle w:val="Emphasis"/>
          <w:bCs/>
          <w:color w:val="000000" w:themeColor="text1"/>
          <w:shd w:val="clear" w:color="auto" w:fill="FFFFFF"/>
        </w:rPr>
        <w:t>García v</w:t>
      </w:r>
      <w:r w:rsidRPr="004A50E9">
        <w:rPr>
          <w:i/>
          <w:color w:val="000000" w:themeColor="text1"/>
          <w:shd w:val="clear" w:color="auto" w:fill="FFFFFF"/>
        </w:rPr>
        <w:t>.</w:t>
      </w:r>
      <w:r w:rsidRPr="004A50E9">
        <w:rPr>
          <w:rStyle w:val="apple-converted-space"/>
          <w:i/>
          <w:color w:val="000000" w:themeColor="text1"/>
          <w:shd w:val="clear" w:color="auto" w:fill="FFFFFF"/>
        </w:rPr>
        <w:t> </w:t>
      </w:r>
      <w:r w:rsidRPr="004A50E9">
        <w:rPr>
          <w:rStyle w:val="Emphasis"/>
          <w:bCs/>
          <w:color w:val="000000" w:themeColor="text1"/>
          <w:shd w:val="clear" w:color="auto" w:fill="FFFFFF"/>
        </w:rPr>
        <w:t>Perú</w:t>
      </w:r>
      <w:r w:rsidRPr="004A50E9">
        <w:rPr>
          <w:color w:val="000000" w:themeColor="text1"/>
        </w:rPr>
        <w:t xml:space="preserve">, </w:t>
      </w:r>
      <w:r w:rsidRPr="004A50E9">
        <w:rPr>
          <w:rStyle w:val="itemtitle"/>
          <w:color w:val="000000" w:themeColor="text1"/>
        </w:rPr>
        <w:t xml:space="preserve">Yllaconza Ramirez de Baldeón and ors (on behalf of Baldeón García) v Peru, Merits, reparations and costs, IACHR Series C No 147, IHRL 1531 (IACHR 2006), 6th April 2006, Inter-American Court of Human Rights [IACtHR], </w:t>
      </w:r>
      <w:r>
        <w:t>p</w:t>
      </w:r>
      <w:r w:rsidRPr="004A50E9">
        <w:t>ara 150.</w:t>
      </w:r>
    </w:p>
  </w:footnote>
  <w:footnote w:id="151">
    <w:p w:rsidR="00271D38" w:rsidRPr="00371348" w:rsidRDefault="00271D38" w:rsidP="00737915">
      <w:pPr>
        <w:pStyle w:val="FootnoteText"/>
        <w:ind w:left="284" w:hanging="284"/>
        <w:jc w:val="both"/>
        <w:rPr>
          <w:lang w:val="es-ES"/>
        </w:rPr>
      </w:pPr>
      <w:r w:rsidRPr="004A50E9">
        <w:rPr>
          <w:rStyle w:val="FootnoteReference"/>
        </w:rPr>
        <w:footnoteRef/>
      </w:r>
      <w:r w:rsidRPr="00371348">
        <w:rPr>
          <w:lang w:val="es-ES"/>
        </w:rPr>
        <w:t xml:space="preserve"> </w:t>
      </w:r>
      <w:r w:rsidRPr="00371348">
        <w:rPr>
          <w:color w:val="000000" w:themeColor="text1"/>
          <w:shd w:val="clear" w:color="auto" w:fill="FFFFFF"/>
          <w:lang w:val="es-ES"/>
        </w:rPr>
        <w:t>Ibid,</w:t>
      </w:r>
      <w:r w:rsidRPr="00371348">
        <w:rPr>
          <w:lang w:val="es-ES"/>
        </w:rPr>
        <w:t xml:space="preserve"> para 153.</w:t>
      </w:r>
    </w:p>
  </w:footnote>
  <w:footnote w:id="152">
    <w:p w:rsidR="00271D38" w:rsidRPr="00371348" w:rsidRDefault="00271D38" w:rsidP="00737915">
      <w:pPr>
        <w:pStyle w:val="FootnoteText"/>
        <w:ind w:left="284" w:hanging="284"/>
        <w:jc w:val="both"/>
        <w:rPr>
          <w:lang w:val="es-ES"/>
        </w:rPr>
      </w:pPr>
      <w:r w:rsidRPr="00D52AEC">
        <w:rPr>
          <w:rStyle w:val="FootnoteReference"/>
        </w:rPr>
        <w:footnoteRef/>
      </w:r>
      <w:r w:rsidRPr="00371348">
        <w:rPr>
          <w:lang w:val="es-ES"/>
        </w:rPr>
        <w:t xml:space="preserve"> </w:t>
      </w:r>
      <w:r w:rsidRPr="00371348">
        <w:rPr>
          <w:color w:val="000000" w:themeColor="text1"/>
          <w:shd w:val="clear" w:color="auto" w:fill="FFFFFF"/>
          <w:lang w:val="es-ES"/>
        </w:rPr>
        <w:t xml:space="preserve">Ibid, </w:t>
      </w:r>
      <w:r w:rsidRPr="00371348">
        <w:rPr>
          <w:rStyle w:val="itemtitle"/>
          <w:color w:val="000000" w:themeColor="text1"/>
          <w:lang w:val="es-ES"/>
        </w:rPr>
        <w:t>para 165.</w:t>
      </w:r>
    </w:p>
  </w:footnote>
  <w:footnote w:id="153">
    <w:p w:rsidR="00271D38" w:rsidRPr="00371348" w:rsidRDefault="00271D38" w:rsidP="00737915">
      <w:pPr>
        <w:pStyle w:val="FootnoteText"/>
        <w:ind w:left="284" w:hanging="284"/>
        <w:jc w:val="both"/>
        <w:rPr>
          <w:lang w:val="es-ES"/>
        </w:rPr>
      </w:pPr>
      <w:r w:rsidRPr="004A50E9">
        <w:rPr>
          <w:rStyle w:val="FootnoteReference"/>
        </w:rPr>
        <w:footnoteRef/>
      </w:r>
      <w:r w:rsidRPr="00371348">
        <w:rPr>
          <w:lang w:val="es-ES"/>
        </w:rPr>
        <w:t xml:space="preserve"> </w:t>
      </w:r>
      <w:r w:rsidRPr="00371348">
        <w:rPr>
          <w:color w:val="000000" w:themeColor="text1"/>
          <w:shd w:val="clear" w:color="auto" w:fill="FFFFFF"/>
          <w:lang w:val="es-ES"/>
        </w:rPr>
        <w:t>Ibid.</w:t>
      </w:r>
    </w:p>
  </w:footnote>
  <w:footnote w:id="154">
    <w:p w:rsidR="00271D38" w:rsidRPr="004A50E9" w:rsidRDefault="00271D38" w:rsidP="00737915">
      <w:pPr>
        <w:pStyle w:val="FootnoteText"/>
        <w:jc w:val="both"/>
      </w:pPr>
      <w:r w:rsidRPr="004A50E9">
        <w:rPr>
          <w:rStyle w:val="FootnoteReference"/>
        </w:rPr>
        <w:footnoteRef/>
      </w:r>
      <w:r w:rsidRPr="004A50E9">
        <w:t xml:space="preserve"> </w:t>
      </w:r>
      <w:r w:rsidRPr="00D325F4">
        <w:rPr>
          <w:i/>
        </w:rPr>
        <w:t>Us Interdiction of Haitians on High Seas</w:t>
      </w:r>
      <w:r w:rsidRPr="004A50E9">
        <w:t xml:space="preserve"> ,(United States) March 13, 1997, Report No 51/96 Case No. 10.675.</w:t>
      </w:r>
    </w:p>
  </w:footnote>
  <w:footnote w:id="155">
    <w:p w:rsidR="00271D38" w:rsidRPr="003D7A85" w:rsidRDefault="00271D38" w:rsidP="00737915">
      <w:pPr>
        <w:pStyle w:val="FootnoteText"/>
        <w:ind w:left="284" w:hanging="284"/>
        <w:jc w:val="both"/>
      </w:pPr>
      <w:r w:rsidRPr="00D52AEC">
        <w:rPr>
          <w:rStyle w:val="FootnoteReference"/>
        </w:rPr>
        <w:footnoteRef/>
      </w:r>
      <w:r w:rsidRPr="00D52AEC">
        <w:t xml:space="preserve"> 1961 Vienna Convention on Diplomatic Relations 500 UNTS 95 / 23 UST 3227 / 55 A</w:t>
      </w:r>
      <w:r>
        <w:t xml:space="preserve">JIL 1064 (1961), article 31(c); </w:t>
      </w:r>
      <w:r w:rsidRPr="003D7A85">
        <w:rPr>
          <w:color w:val="000000"/>
        </w:rPr>
        <w:t>George A D’Angelo “The Contemporary Role of the Military Attaché and Problems relating to the Attachment of a Quality Corps.” Master’s Thesis, Texas Tech University, 1972.</w:t>
      </w:r>
    </w:p>
  </w:footnote>
  <w:footnote w:id="156">
    <w:p w:rsidR="00271D38" w:rsidRPr="003D7A85" w:rsidRDefault="00271D38" w:rsidP="00212DB2">
      <w:pPr>
        <w:pStyle w:val="FootnoteText"/>
        <w:ind w:left="284" w:hanging="284"/>
        <w:jc w:val="both"/>
      </w:pPr>
      <w:r w:rsidRPr="003D7A85">
        <w:rPr>
          <w:rStyle w:val="FootnoteReference"/>
        </w:rPr>
        <w:footnoteRef/>
      </w:r>
      <w:r w:rsidRPr="003D7A85">
        <w:t xml:space="preserve"> </w:t>
      </w:r>
      <w:r>
        <w:rPr>
          <w:color w:val="000000"/>
        </w:rPr>
        <w:t xml:space="preserve">Organization of American States (OAS), </w:t>
      </w:r>
      <w:r w:rsidRPr="00D4161E">
        <w:rPr>
          <w:bCs/>
          <w:i/>
          <w:iCs/>
          <w:color w:val="000000"/>
        </w:rPr>
        <w:t>Inter-American Convention on Extradition</w:t>
      </w:r>
      <w:r w:rsidRPr="00D4161E">
        <w:rPr>
          <w:bCs/>
          <w:iCs/>
          <w:color w:val="000000"/>
        </w:rPr>
        <w:t xml:space="preserve">, </w:t>
      </w:r>
      <w:r>
        <w:t>entered into force Jan. 25, 1935, 49 Stat. 3111.</w:t>
      </w:r>
    </w:p>
  </w:footnote>
  <w:footnote w:id="157">
    <w:p w:rsidR="00271D38" w:rsidRPr="00D52AEC" w:rsidRDefault="00271D38" w:rsidP="00737915">
      <w:pPr>
        <w:pStyle w:val="FootnoteText"/>
        <w:ind w:left="284" w:hanging="284"/>
        <w:jc w:val="both"/>
      </w:pPr>
      <w:r w:rsidRPr="00D52AEC">
        <w:rPr>
          <w:rStyle w:val="FootnoteReference"/>
        </w:rPr>
        <w:footnoteRef/>
      </w:r>
      <w:r w:rsidRPr="00D52AEC">
        <w:t xml:space="preserve"> </w:t>
      </w:r>
      <w:r w:rsidRPr="00D52AEC">
        <w:rPr>
          <w:color w:val="000000"/>
        </w:rPr>
        <w:t xml:space="preserve">Organization of American States (OAS), </w:t>
      </w:r>
      <w:r w:rsidRPr="00D52AEC">
        <w:rPr>
          <w:i/>
          <w:iCs/>
          <w:color w:val="000000"/>
        </w:rPr>
        <w:t>American Convention on Human Rights, "Pact of San Jose", Costa Rica</w:t>
      </w:r>
      <w:r w:rsidRPr="00D52AEC">
        <w:rPr>
          <w:color w:val="000000"/>
        </w:rPr>
        <w:t>, 22 November 1969.</w:t>
      </w:r>
    </w:p>
  </w:footnote>
  <w:footnote w:id="158">
    <w:p w:rsidR="00271D38" w:rsidRDefault="00271D38" w:rsidP="00737915">
      <w:pPr>
        <w:pStyle w:val="FootnoteText"/>
        <w:ind w:left="284" w:hanging="284"/>
        <w:jc w:val="both"/>
      </w:pPr>
      <w:r w:rsidRPr="00BD6A44">
        <w:rPr>
          <w:rStyle w:val="FootnoteReference"/>
        </w:rPr>
        <w:footnoteRef/>
      </w:r>
      <w:r w:rsidRPr="00BD6A44">
        <w:t xml:space="preserve"> </w:t>
      </w:r>
      <w:r>
        <w:t xml:space="preserve"> </w:t>
      </w:r>
      <w:r>
        <w:rPr>
          <w:color w:val="000000"/>
        </w:rPr>
        <w:t>Ibid.</w:t>
      </w:r>
    </w:p>
  </w:footnote>
  <w:footnote w:id="159">
    <w:p w:rsidR="00271D38" w:rsidRPr="00A735B9" w:rsidRDefault="00271D38" w:rsidP="00737915">
      <w:pPr>
        <w:pStyle w:val="FootnoteText"/>
        <w:ind w:left="284" w:hanging="284"/>
        <w:jc w:val="both"/>
      </w:pPr>
      <w:r w:rsidRPr="00A735B9">
        <w:rPr>
          <w:rStyle w:val="FootnoteReference"/>
        </w:rPr>
        <w:footnoteRef/>
      </w:r>
      <w:r w:rsidRPr="00A735B9">
        <w:t xml:space="preserve"> </w:t>
      </w:r>
      <w:r w:rsidRPr="00190FB8">
        <w:rPr>
          <w:i/>
        </w:rPr>
        <w:t>Case of the Afro-descendant Communities Displaced from the Cacarica River Basin (Operation Genesis)</w:t>
      </w:r>
      <w:r>
        <w:t xml:space="preserve"> v. Colombia, p</w:t>
      </w:r>
      <w:r w:rsidRPr="00A735B9">
        <w:t>ara 155</w:t>
      </w:r>
      <w:r>
        <w:t>.</w:t>
      </w:r>
    </w:p>
  </w:footnote>
  <w:footnote w:id="160">
    <w:p w:rsidR="00271D38" w:rsidRPr="00B67227" w:rsidRDefault="00271D38" w:rsidP="00737915">
      <w:pPr>
        <w:pStyle w:val="FootnoteText"/>
        <w:jc w:val="both"/>
      </w:pPr>
      <w:r w:rsidRPr="00B67227">
        <w:rPr>
          <w:rStyle w:val="FootnoteReference"/>
        </w:rPr>
        <w:footnoteRef/>
      </w:r>
      <w:r w:rsidRPr="00B67227">
        <w:t xml:space="preserve"> Hypothetical Case, para 8.</w:t>
      </w:r>
    </w:p>
  </w:footnote>
  <w:footnote w:id="161">
    <w:p w:rsidR="00271D38" w:rsidRDefault="00271D38" w:rsidP="00BB534A">
      <w:pPr>
        <w:pStyle w:val="FootnoteText"/>
        <w:ind w:left="284" w:hanging="284"/>
        <w:jc w:val="both"/>
      </w:pPr>
      <w:r>
        <w:rPr>
          <w:rStyle w:val="FootnoteReference"/>
        </w:rPr>
        <w:footnoteRef/>
      </w:r>
      <w:r>
        <w:t xml:space="preserve"> </w:t>
      </w:r>
      <w:r>
        <w:rPr>
          <w:color w:val="000000"/>
        </w:rPr>
        <w:t xml:space="preserve">Organization of American States (OAS), </w:t>
      </w:r>
      <w:r>
        <w:rPr>
          <w:i/>
          <w:iCs/>
          <w:color w:val="000000"/>
        </w:rPr>
        <w:t>American Convention on Human Rights, "Pact of San Jose", Costa Rica</w:t>
      </w:r>
      <w:r>
        <w:rPr>
          <w:color w:val="000000"/>
        </w:rPr>
        <w:t>, 22 November 1969.</w:t>
      </w:r>
    </w:p>
  </w:footnote>
  <w:footnote w:id="162">
    <w:p w:rsidR="00271D38" w:rsidRDefault="00271D38" w:rsidP="00C53001">
      <w:pPr>
        <w:pStyle w:val="FootnoteText"/>
        <w:ind w:left="284" w:hanging="284"/>
        <w:jc w:val="both"/>
      </w:pPr>
      <w:r>
        <w:rPr>
          <w:rStyle w:val="FootnoteReference"/>
        </w:rPr>
        <w:footnoteRef/>
      </w:r>
      <w:r>
        <w:t xml:space="preserve"> </w:t>
      </w:r>
      <w:r>
        <w:rPr>
          <w:color w:val="000000"/>
        </w:rPr>
        <w:t xml:space="preserve">Organization of American States (OAS), </w:t>
      </w:r>
      <w:r>
        <w:rPr>
          <w:i/>
          <w:iCs/>
          <w:color w:val="000000"/>
        </w:rPr>
        <w:t>American Convention on Human Rights, "Pact of San Jose", Costa Rica</w:t>
      </w:r>
      <w:r>
        <w:rPr>
          <w:color w:val="000000"/>
        </w:rPr>
        <w:t>, 22 November 1969.</w:t>
      </w:r>
    </w:p>
  </w:footnote>
  <w:footnote w:id="163">
    <w:p w:rsidR="00271D38" w:rsidRDefault="00271D38" w:rsidP="00C53001">
      <w:pPr>
        <w:pStyle w:val="FootnoteText"/>
        <w:jc w:val="both"/>
      </w:pPr>
      <w:r>
        <w:rPr>
          <w:rStyle w:val="FootnoteReference"/>
        </w:rPr>
        <w:footnoteRef/>
      </w:r>
      <w:r>
        <w:t xml:space="preserve"> </w:t>
      </w:r>
      <w:r w:rsidRPr="00C53001">
        <w:t>UN General Assembly, </w:t>
      </w:r>
      <w:r w:rsidRPr="00C53001">
        <w:rPr>
          <w:i/>
          <w:iCs/>
        </w:rPr>
        <w:t>United Nations Declaration on the Rights of Indigenous Peoples : resolution / adopted by the General Assembly</w:t>
      </w:r>
      <w:r w:rsidRPr="00C53001">
        <w:t>, 2 October 2007, A/RES/61/295</w:t>
      </w:r>
      <w:r>
        <w:t>, Arts 11 &amp; 12.</w:t>
      </w:r>
    </w:p>
  </w:footnote>
  <w:footnote w:id="164">
    <w:p w:rsidR="00271D38" w:rsidRDefault="00271D38" w:rsidP="002005B8">
      <w:pPr>
        <w:pStyle w:val="FootnoteText"/>
        <w:jc w:val="both"/>
      </w:pPr>
      <w:r>
        <w:rPr>
          <w:rStyle w:val="FootnoteReference"/>
        </w:rPr>
        <w:footnoteRef/>
      </w:r>
      <w:r>
        <w:t xml:space="preserve"> Hypothetical Case, para 9.</w:t>
      </w:r>
    </w:p>
  </w:footnote>
  <w:footnote w:id="165">
    <w:p w:rsidR="00271D38" w:rsidRDefault="00271D38" w:rsidP="004B69CC">
      <w:pPr>
        <w:pStyle w:val="FootnoteText"/>
        <w:ind w:left="284" w:hanging="284"/>
        <w:jc w:val="both"/>
      </w:pPr>
      <w:r>
        <w:rPr>
          <w:rStyle w:val="FootnoteReference"/>
        </w:rPr>
        <w:footnoteRef/>
      </w:r>
      <w:r>
        <w:t xml:space="preserve"> United Nations, </w:t>
      </w:r>
      <w:r>
        <w:rPr>
          <w:i/>
          <w:iCs/>
        </w:rPr>
        <w:t>Vienna Convention on the Law of Treaties</w:t>
      </w:r>
      <w:r>
        <w:t>, 23 May 1969, United Nations, Treaty Series, vol. 1155, p. 331, article 26.</w:t>
      </w:r>
    </w:p>
  </w:footnote>
  <w:footnote w:id="166">
    <w:p w:rsidR="00271D38" w:rsidRDefault="00271D38" w:rsidP="002005B8">
      <w:pPr>
        <w:pStyle w:val="FootnoteText"/>
        <w:tabs>
          <w:tab w:val="left" w:pos="284"/>
        </w:tabs>
        <w:ind w:left="284" w:hanging="284"/>
        <w:jc w:val="both"/>
      </w:pPr>
      <w:r>
        <w:rPr>
          <w:rStyle w:val="FootnoteReference"/>
        </w:rPr>
        <w:footnoteRef/>
      </w:r>
      <w:r>
        <w:t xml:space="preserve"> Xákmok Kásek Indigenous Community v. Paraguay, Merits, Reparations, and Costs, Judgment, Inter-Am. Ct. H.R. (ser. C) No. 214, paras 243 &amp; 244 (Aug. 24, 2010).</w:t>
      </w:r>
    </w:p>
  </w:footnote>
  <w:footnote w:id="167">
    <w:p w:rsidR="00271D38" w:rsidRDefault="00271D38" w:rsidP="004B69CC">
      <w:pPr>
        <w:pStyle w:val="FootnoteText"/>
        <w:ind w:left="284" w:hanging="284"/>
        <w:jc w:val="both"/>
      </w:pPr>
      <w:r>
        <w:rPr>
          <w:rStyle w:val="FootnoteReference"/>
        </w:rPr>
        <w:footnoteRef/>
      </w:r>
      <w:r>
        <w:t xml:space="preserve"> United Nations Conference on Environment and Development, </w:t>
      </w:r>
      <w:r w:rsidRPr="00782C2F">
        <w:rPr>
          <w:i/>
        </w:rPr>
        <w:t>Rio Declaration on Environment and Development</w:t>
      </w:r>
      <w:r>
        <w:t>, UN Doc. A/CONF.151/26 (vol. I) / 31 ILM 874 (1992), principles 4 &amp; 25.</w:t>
      </w:r>
    </w:p>
  </w:footnote>
  <w:footnote w:id="168">
    <w:p w:rsidR="00271D38" w:rsidRDefault="00271D38" w:rsidP="002005B8">
      <w:pPr>
        <w:pStyle w:val="FootnoteText"/>
        <w:ind w:left="142" w:hanging="142"/>
        <w:jc w:val="both"/>
      </w:pPr>
      <w:r>
        <w:rPr>
          <w:rStyle w:val="FootnoteReference"/>
        </w:rPr>
        <w:footnoteRef/>
      </w:r>
      <w:r>
        <w:t xml:space="preserve"> Ibid.</w:t>
      </w:r>
    </w:p>
  </w:footnote>
  <w:footnote w:id="169">
    <w:p w:rsidR="00271D38" w:rsidRDefault="00271D38" w:rsidP="002005B8">
      <w:pPr>
        <w:pStyle w:val="FootnoteText"/>
        <w:jc w:val="both"/>
      </w:pPr>
      <w:r>
        <w:rPr>
          <w:rStyle w:val="FootnoteReference"/>
        </w:rPr>
        <w:footnoteRef/>
      </w:r>
      <w:r>
        <w:t xml:space="preserve"> Hypothetical Case para 36.</w:t>
      </w:r>
    </w:p>
  </w:footnote>
  <w:footnote w:id="170">
    <w:p w:rsidR="00271D38" w:rsidRDefault="00271D38" w:rsidP="002005B8">
      <w:pPr>
        <w:pStyle w:val="FootnoteText"/>
        <w:jc w:val="both"/>
      </w:pPr>
      <w:r>
        <w:rPr>
          <w:rStyle w:val="FootnoteReference"/>
        </w:rPr>
        <w:footnoteRef/>
      </w:r>
      <w:r>
        <w:t xml:space="preserve"> Hypothetical Case paras 37 &amp; 38.</w:t>
      </w:r>
    </w:p>
  </w:footnote>
  <w:footnote w:id="171">
    <w:p w:rsidR="00271D38" w:rsidRDefault="00271D38" w:rsidP="002005B8">
      <w:pPr>
        <w:pStyle w:val="FootnoteText"/>
        <w:jc w:val="both"/>
      </w:pPr>
      <w:r>
        <w:rPr>
          <w:rStyle w:val="FootnoteReference"/>
        </w:rPr>
        <w:footnoteRef/>
      </w:r>
      <w:r>
        <w:t xml:space="preserve"> Hypothetical Case para 36.</w:t>
      </w:r>
    </w:p>
  </w:footnote>
  <w:footnote w:id="172">
    <w:p w:rsidR="00271D38" w:rsidRDefault="00271D38" w:rsidP="002005B8">
      <w:pPr>
        <w:pStyle w:val="FootnoteText"/>
        <w:ind w:left="284" w:hanging="284"/>
        <w:jc w:val="both"/>
      </w:pPr>
      <w:r>
        <w:rPr>
          <w:rStyle w:val="FootnoteReference"/>
        </w:rPr>
        <w:footnoteRef/>
      </w:r>
      <w:r>
        <w:t xml:space="preserve"> Marco Gerado Monroy Cabra, “Rights and Duties Established by the American Convention on Human Rights” The American University Law Review [Vol. 30: 21 1981]</w:t>
      </w:r>
      <w:r>
        <w:rPr>
          <w:rFonts w:eastAsia="Times New Roman"/>
          <w:color w:val="000000" w:themeColor="text1"/>
          <w:lang w:eastAsia="en-TT"/>
        </w:rPr>
        <w:t xml:space="preserve"> </w:t>
      </w:r>
      <w:r>
        <w:t>p. 29.</w:t>
      </w:r>
      <w:r>
        <w:tab/>
      </w:r>
    </w:p>
  </w:footnote>
  <w:footnote w:id="173">
    <w:p w:rsidR="00271D38" w:rsidRPr="00371348" w:rsidRDefault="00271D38" w:rsidP="002005B8">
      <w:pPr>
        <w:pStyle w:val="FootnoteText"/>
        <w:jc w:val="both"/>
        <w:rPr>
          <w:color w:val="000000" w:themeColor="text1"/>
          <w:lang w:val="pt-BR"/>
        </w:rPr>
      </w:pPr>
      <w:r w:rsidRPr="002D397A">
        <w:rPr>
          <w:rStyle w:val="FootnoteReference"/>
          <w:color w:val="000000" w:themeColor="text1"/>
        </w:rPr>
        <w:footnoteRef/>
      </w:r>
      <w:r w:rsidRPr="00371348">
        <w:rPr>
          <w:color w:val="000000" w:themeColor="text1"/>
          <w:lang w:val="pt-BR"/>
        </w:rPr>
        <w:t xml:space="preserve"> </w:t>
      </w:r>
      <w:r w:rsidRPr="00371348">
        <w:rPr>
          <w:i/>
          <w:color w:val="000000" w:themeColor="text1"/>
          <w:lang w:val="pt-BR"/>
        </w:rPr>
        <w:t>Maria Da Penha v Brasil</w:t>
      </w:r>
      <w:r w:rsidRPr="00371348">
        <w:rPr>
          <w:color w:val="000000" w:themeColor="text1"/>
          <w:lang w:val="pt-BR"/>
        </w:rPr>
        <w:t xml:space="preserve">, </w:t>
      </w:r>
      <w:r w:rsidRPr="00371348">
        <w:rPr>
          <w:bCs/>
          <w:color w:val="000000" w:themeColor="text1"/>
          <w:lang w:val="pt-BR"/>
        </w:rPr>
        <w:t>Case 12.051, Report No. 54/01, OEA/Ser.L/V/II.111 Doc. 20 rev. at 704 (2000).</w:t>
      </w:r>
    </w:p>
  </w:footnote>
  <w:footnote w:id="174">
    <w:p w:rsidR="00271D38" w:rsidRPr="002D397A" w:rsidRDefault="00271D38" w:rsidP="002005B8">
      <w:pPr>
        <w:pStyle w:val="FootnoteText"/>
        <w:ind w:left="284" w:hanging="284"/>
        <w:jc w:val="both"/>
        <w:rPr>
          <w:color w:val="000000" w:themeColor="text1"/>
        </w:rPr>
      </w:pPr>
      <w:r w:rsidRPr="002D397A">
        <w:rPr>
          <w:rStyle w:val="FootnoteReference"/>
          <w:color w:val="000000" w:themeColor="text1"/>
        </w:rPr>
        <w:footnoteRef/>
      </w:r>
      <w:r w:rsidRPr="002D397A">
        <w:rPr>
          <w:color w:val="000000" w:themeColor="text1"/>
        </w:rPr>
        <w:t xml:space="preserve"> Habeas Corpus in Emergency Situations (arts. 27(2), 25(1) and 7(6) American Convention on Human Rights), Advisory Opinion OC-8/87 of January 30, 1987, ser. A: Judgments and Opinions, No. 8 (1987).</w:t>
      </w:r>
    </w:p>
  </w:footnote>
  <w:footnote w:id="175">
    <w:p w:rsidR="00271D38" w:rsidRPr="002D397A" w:rsidRDefault="00271D38" w:rsidP="004B69CC">
      <w:pPr>
        <w:pStyle w:val="FootnoteText"/>
        <w:ind w:left="284" w:hanging="284"/>
        <w:jc w:val="both"/>
        <w:rPr>
          <w:color w:val="000000" w:themeColor="text1"/>
        </w:rPr>
      </w:pPr>
      <w:r w:rsidRPr="002D397A">
        <w:rPr>
          <w:rStyle w:val="FootnoteReference"/>
          <w:color w:val="000000" w:themeColor="text1"/>
        </w:rPr>
        <w:footnoteRef/>
      </w:r>
      <w:r w:rsidRPr="002D397A">
        <w:rPr>
          <w:color w:val="000000" w:themeColor="text1"/>
        </w:rPr>
        <w:t xml:space="preserve"> Allan R Brewer-Carías, “The Latin American Amparo Proceeding and the Writ of Amparo in the Philippines” City University of Hong Kong Law Review, Vol 1.1, pg 74.</w:t>
      </w:r>
    </w:p>
  </w:footnote>
  <w:footnote w:id="176">
    <w:p w:rsidR="00271D38" w:rsidRPr="002D397A" w:rsidRDefault="00271D38" w:rsidP="002005B8">
      <w:pPr>
        <w:pStyle w:val="FootnoteText"/>
        <w:ind w:left="284" w:hanging="284"/>
        <w:jc w:val="both"/>
        <w:rPr>
          <w:color w:val="000000" w:themeColor="text1"/>
        </w:rPr>
      </w:pPr>
      <w:r w:rsidRPr="002D397A">
        <w:rPr>
          <w:rStyle w:val="FootnoteReference"/>
          <w:color w:val="000000" w:themeColor="text1"/>
        </w:rPr>
        <w:footnoteRef/>
      </w:r>
      <w:r w:rsidRPr="002D397A">
        <w:rPr>
          <w:color w:val="000000" w:themeColor="text1"/>
        </w:rPr>
        <w:t xml:space="preserve"> Gloria Orrego Hoyos, “The Amparo Context in Latin American Jurisdiction: an approach to an empowering action” (GlobaLex 2013) &lt; </w:t>
      </w:r>
      <w:hyperlink r:id="rId1" w:history="1">
        <w:r w:rsidRPr="002D397A">
          <w:rPr>
            <w:rStyle w:val="Hyperlink"/>
            <w:color w:val="000000" w:themeColor="text1"/>
            <w:u w:val="none"/>
          </w:rPr>
          <w:t>http://www.nyulawglobal.org/globalex/Amparo.html&gt; accessed</w:t>
        </w:r>
      </w:hyperlink>
      <w:r w:rsidRPr="002D397A">
        <w:rPr>
          <w:color w:val="000000" w:themeColor="text1"/>
        </w:rPr>
        <w:t xml:space="preserve"> 20 Mar. 16.</w:t>
      </w:r>
    </w:p>
  </w:footnote>
  <w:footnote w:id="177">
    <w:p w:rsidR="00271D38" w:rsidRDefault="00271D38" w:rsidP="002005B8">
      <w:pPr>
        <w:pStyle w:val="FootnoteText"/>
        <w:jc w:val="both"/>
      </w:pPr>
      <w:r w:rsidRPr="002D397A">
        <w:rPr>
          <w:rStyle w:val="FootnoteReference"/>
          <w:color w:val="000000" w:themeColor="text1"/>
        </w:rPr>
        <w:footnoteRef/>
      </w:r>
      <w:r w:rsidRPr="002D397A">
        <w:rPr>
          <w:color w:val="000000" w:themeColor="text1"/>
        </w:rPr>
        <w:t xml:space="preserve"> Hypothetical Case, para 39.</w:t>
      </w:r>
    </w:p>
  </w:footnote>
  <w:footnote w:id="178">
    <w:p w:rsidR="00271D38" w:rsidRDefault="00271D38" w:rsidP="002005B8">
      <w:pPr>
        <w:pStyle w:val="FootnoteText"/>
        <w:jc w:val="both"/>
      </w:pPr>
      <w:r>
        <w:rPr>
          <w:rStyle w:val="FootnoteReference"/>
        </w:rPr>
        <w:footnoteRef/>
      </w:r>
      <w:r>
        <w:t xml:space="preserve"> Hypothetical Case, para 40.</w:t>
      </w:r>
    </w:p>
  </w:footnote>
  <w:footnote w:id="179">
    <w:p w:rsidR="00271D38" w:rsidRDefault="00271D38" w:rsidP="002005B8">
      <w:pPr>
        <w:pStyle w:val="FootnoteText"/>
        <w:ind w:left="284" w:hanging="284"/>
        <w:jc w:val="both"/>
      </w:pPr>
      <w:r>
        <w:rPr>
          <w:rStyle w:val="FootnoteReference"/>
        </w:rPr>
        <w:footnoteRef/>
      </w:r>
      <w:r>
        <w:t xml:space="preserve"> </w:t>
      </w:r>
      <w:r>
        <w:rPr>
          <w:i/>
        </w:rPr>
        <w:t>Mayagna (Sumo) Awas Tingni Community v. Nicaragua</w:t>
      </w:r>
      <w:r>
        <w:t>, Merits, Reparations and Costs, Judgment, Inter-Am. Ct. H.R. (ser. C) No. 79, para 148 (Aug. 31, 2001).</w:t>
      </w:r>
    </w:p>
  </w:footnote>
  <w:footnote w:id="180">
    <w:p w:rsidR="00271D38" w:rsidRDefault="00271D38" w:rsidP="002005B8">
      <w:pPr>
        <w:pStyle w:val="FootnoteText"/>
        <w:ind w:left="284" w:hanging="284"/>
        <w:jc w:val="both"/>
      </w:pPr>
      <w:r>
        <w:rPr>
          <w:rStyle w:val="FootnoteReference"/>
        </w:rPr>
        <w:footnoteRef/>
      </w:r>
      <w:r>
        <w:t xml:space="preserve"> </w:t>
      </w:r>
      <w:r w:rsidRPr="002005B8">
        <w:t>Ibid.</w:t>
      </w:r>
    </w:p>
  </w:footnote>
  <w:footnote w:id="181">
    <w:p w:rsidR="00271D38" w:rsidRDefault="00271D38" w:rsidP="002005B8">
      <w:pPr>
        <w:pStyle w:val="FootnoteText"/>
        <w:jc w:val="both"/>
      </w:pPr>
      <w:r>
        <w:rPr>
          <w:rStyle w:val="FootnoteReference"/>
        </w:rPr>
        <w:footnoteRef/>
      </w:r>
      <w:r>
        <w:t xml:space="preserve"> Hypothetical Case, para 38.</w:t>
      </w:r>
    </w:p>
  </w:footnote>
  <w:footnote w:id="182">
    <w:p w:rsidR="00271D38" w:rsidRDefault="00271D38" w:rsidP="002005B8">
      <w:pPr>
        <w:pStyle w:val="FootnoteText"/>
        <w:ind w:left="284" w:hanging="284"/>
        <w:jc w:val="both"/>
      </w:pPr>
      <w:r>
        <w:rPr>
          <w:rStyle w:val="FootnoteReference"/>
        </w:rPr>
        <w:footnoteRef/>
      </w:r>
      <w:r>
        <w:t xml:space="preserve"> ILO, </w:t>
      </w:r>
      <w:r>
        <w:rPr>
          <w:i/>
          <w:iCs/>
        </w:rPr>
        <w:t>Convention Concerning Indigenous and Tribal Peoples in Independent Countries</w:t>
      </w:r>
      <w:r>
        <w:t>, 27 June 1989, 28 ILM, Art. 6, 1386 [ILO Convention No. 169].</w:t>
      </w:r>
    </w:p>
  </w:footnote>
  <w:footnote w:id="183">
    <w:p w:rsidR="00271D38" w:rsidRDefault="00271D38" w:rsidP="002005B8">
      <w:pPr>
        <w:pStyle w:val="FootnoteText"/>
        <w:jc w:val="both"/>
      </w:pPr>
      <w:r>
        <w:rPr>
          <w:rStyle w:val="FootnoteReference"/>
        </w:rPr>
        <w:footnoteRef/>
      </w:r>
      <w:r>
        <w:t xml:space="preserve"> Ibid.</w:t>
      </w:r>
    </w:p>
  </w:footnote>
  <w:footnote w:id="184">
    <w:p w:rsidR="00271D38" w:rsidRDefault="00271D38" w:rsidP="00BB534A">
      <w:pPr>
        <w:pStyle w:val="FootnoteText"/>
        <w:ind w:left="284" w:hanging="284"/>
        <w:jc w:val="both"/>
      </w:pPr>
      <w:r>
        <w:rPr>
          <w:rStyle w:val="FootnoteReference"/>
        </w:rPr>
        <w:footnoteRef/>
      </w:r>
      <w:r>
        <w:t xml:space="preserve"> </w:t>
      </w:r>
      <w:r>
        <w:rPr>
          <w:i/>
        </w:rPr>
        <w:t>Saramaka People v. Suriname</w:t>
      </w:r>
      <w:r>
        <w:t>, Preliminary Objections, Merits, Reparations and Costs, Judgment, Inter-Am. Ct. H.R. (ser. C) No. 172, para 129 (Nov. 28, 2007).</w:t>
      </w:r>
    </w:p>
  </w:footnote>
  <w:footnote w:id="185">
    <w:p w:rsidR="00271D38" w:rsidRDefault="00271D38" w:rsidP="003D6F32">
      <w:pPr>
        <w:pStyle w:val="FootnoteText"/>
        <w:jc w:val="both"/>
      </w:pPr>
      <w:r>
        <w:rPr>
          <w:rStyle w:val="FootnoteReference"/>
        </w:rPr>
        <w:footnoteRef/>
      </w:r>
      <w:r>
        <w:t xml:space="preserve"> Hypothetical Case, para 38.</w:t>
      </w:r>
    </w:p>
  </w:footnote>
  <w:footnote w:id="186">
    <w:p w:rsidR="00271D38" w:rsidRDefault="00271D38" w:rsidP="004B69CC">
      <w:pPr>
        <w:pStyle w:val="FootnoteText"/>
        <w:ind w:left="284" w:hanging="284"/>
        <w:jc w:val="both"/>
      </w:pPr>
      <w:r>
        <w:rPr>
          <w:rStyle w:val="FootnoteReference"/>
        </w:rPr>
        <w:footnoteRef/>
      </w:r>
      <w:r>
        <w:t xml:space="preserve"> </w:t>
      </w:r>
      <w:r w:rsidRPr="003A6EF4">
        <w:rPr>
          <w:color w:val="000000" w:themeColor="text1"/>
        </w:rPr>
        <w:t>International Law Commission, “</w:t>
      </w:r>
      <w:r w:rsidRPr="00C61900">
        <w:rPr>
          <w:color w:val="000000" w:themeColor="text1"/>
        </w:rPr>
        <w:t>Draft Articles on Responsibility of States for Internationally Wrongful Acts</w:t>
      </w:r>
      <w:r w:rsidR="00C61900">
        <w:rPr>
          <w:color w:val="000000" w:themeColor="text1"/>
        </w:rPr>
        <w:t>”</w:t>
      </w:r>
      <w:r w:rsidR="00F41367">
        <w:rPr>
          <w:color w:val="000000" w:themeColor="text1"/>
        </w:rPr>
        <w:t xml:space="preserve"> </w:t>
      </w:r>
      <w:r w:rsidRPr="003A6EF4">
        <w:rPr>
          <w:color w:val="000000" w:themeColor="text1"/>
        </w:rPr>
        <w:t>November 2001, Supplement No. 10 (A/56/10/10)”, chp. IV.E.1.</w:t>
      </w:r>
    </w:p>
  </w:footnote>
  <w:footnote w:id="187">
    <w:p w:rsidR="00271D38" w:rsidRDefault="00271D38" w:rsidP="003D6F32">
      <w:pPr>
        <w:pStyle w:val="FootnoteText"/>
        <w:ind w:left="284" w:hanging="284"/>
        <w:jc w:val="both"/>
      </w:pPr>
      <w:r>
        <w:rPr>
          <w:rStyle w:val="FootnoteReference"/>
        </w:rPr>
        <w:footnoteRef/>
      </w:r>
      <w:r>
        <w:t xml:space="preserve"> Ibid, article 25(1)(a).</w:t>
      </w:r>
    </w:p>
  </w:footnote>
  <w:footnote w:id="188">
    <w:p w:rsidR="00271D38" w:rsidRDefault="00271D38" w:rsidP="003D6F32">
      <w:pPr>
        <w:pStyle w:val="FootnoteText"/>
        <w:jc w:val="both"/>
      </w:pPr>
      <w:r>
        <w:rPr>
          <w:rStyle w:val="FootnoteReference"/>
        </w:rPr>
        <w:footnoteRef/>
      </w:r>
      <w:r>
        <w:t xml:space="preserve"> </w:t>
      </w:r>
      <w:r>
        <w:rPr>
          <w:i/>
        </w:rPr>
        <w:t>GabCikovo-Nagymaros Project (HungarylSlovakia),</w:t>
      </w:r>
      <w:r>
        <w:t xml:space="preserve"> Judgment, I. C. J. Reports 1997, p. 7, paras 48-49.</w:t>
      </w:r>
    </w:p>
  </w:footnote>
  <w:footnote w:id="189">
    <w:p w:rsidR="00271D38" w:rsidRDefault="00271D38" w:rsidP="003D6F32">
      <w:pPr>
        <w:pStyle w:val="FootnoteText"/>
        <w:jc w:val="both"/>
      </w:pPr>
      <w:r>
        <w:rPr>
          <w:rStyle w:val="FootnoteReference"/>
        </w:rPr>
        <w:footnoteRef/>
      </w:r>
      <w:r>
        <w:t xml:space="preserve"> </w:t>
      </w:r>
      <w:r w:rsidRPr="002005B8">
        <w:t>Ibid, para 54.</w:t>
      </w:r>
    </w:p>
  </w:footnote>
  <w:footnote w:id="190">
    <w:p w:rsidR="00271D38" w:rsidRDefault="00271D38" w:rsidP="003D6F32">
      <w:pPr>
        <w:pStyle w:val="FootnoteText"/>
        <w:jc w:val="both"/>
      </w:pPr>
      <w:r>
        <w:rPr>
          <w:rStyle w:val="FootnoteReference"/>
        </w:rPr>
        <w:footnoteRef/>
      </w:r>
      <w:r>
        <w:t xml:space="preserve"> Hypothetical Case, para 38.</w:t>
      </w:r>
    </w:p>
  </w:footnote>
  <w:footnote w:id="191">
    <w:p w:rsidR="00271D38" w:rsidRDefault="00271D38" w:rsidP="003D6F32">
      <w:pPr>
        <w:pStyle w:val="FootnoteText"/>
        <w:ind w:left="284" w:hanging="284"/>
        <w:jc w:val="both"/>
      </w:pPr>
      <w:r>
        <w:rPr>
          <w:rStyle w:val="FootnoteReference"/>
        </w:rPr>
        <w:footnoteRef/>
      </w:r>
      <w:r>
        <w:t xml:space="preserve"> </w:t>
      </w:r>
      <w:r w:rsidRPr="00C53001">
        <w:t>International Law Commission, “Draft Articles on Responsibility of States for Internationally Wrongful Acts, November 2001, Supplement No</w:t>
      </w:r>
      <w:r>
        <w:t>. 10 (A/56/10/10)”, chp. IV.E.1, Art 25(2)(b).</w:t>
      </w:r>
    </w:p>
  </w:footnote>
  <w:footnote w:id="192">
    <w:p w:rsidR="00271D38" w:rsidRDefault="00271D38" w:rsidP="003D6F32">
      <w:pPr>
        <w:pStyle w:val="FootnoteText"/>
        <w:jc w:val="both"/>
      </w:pPr>
      <w:r>
        <w:rPr>
          <w:rStyle w:val="FootnoteReference"/>
        </w:rPr>
        <w:footnoteRef/>
      </w:r>
      <w:r>
        <w:t xml:space="preserve"> Hypothetical Case, para 37.</w:t>
      </w:r>
    </w:p>
  </w:footnote>
  <w:footnote w:id="193">
    <w:p w:rsidR="00271D38" w:rsidRDefault="00271D38" w:rsidP="004B69CC">
      <w:pPr>
        <w:pStyle w:val="FootnoteText"/>
        <w:ind w:left="284" w:hanging="284"/>
        <w:jc w:val="both"/>
      </w:pPr>
      <w:r>
        <w:rPr>
          <w:rStyle w:val="FootnoteReference"/>
        </w:rPr>
        <w:footnoteRef/>
      </w:r>
      <w:r>
        <w:t xml:space="preserve"> </w:t>
      </w:r>
      <w:r>
        <w:rPr>
          <w:color w:val="000000"/>
        </w:rPr>
        <w:t xml:space="preserve">Organization of American States (OAS), </w:t>
      </w:r>
      <w:r>
        <w:rPr>
          <w:i/>
          <w:iCs/>
          <w:color w:val="000000"/>
        </w:rPr>
        <w:t>American Convention on Human Rights, "Pact of San Jose", Costa Rica</w:t>
      </w:r>
      <w:r>
        <w:rPr>
          <w:color w:val="000000"/>
        </w:rPr>
        <w:t>, 22 November 1969.</w:t>
      </w:r>
    </w:p>
  </w:footnote>
  <w:footnote w:id="194">
    <w:p w:rsidR="00271D38" w:rsidRDefault="00271D38" w:rsidP="003D6F32">
      <w:pPr>
        <w:pStyle w:val="FootnoteText"/>
        <w:jc w:val="both"/>
      </w:pPr>
      <w:r>
        <w:rPr>
          <w:rStyle w:val="FootnoteReference"/>
        </w:rPr>
        <w:footnoteRef/>
      </w:r>
      <w:r>
        <w:t xml:space="preserve"> Ibid.</w:t>
      </w:r>
    </w:p>
  </w:footnote>
  <w:footnote w:id="195">
    <w:p w:rsidR="00271D38" w:rsidRDefault="00271D38" w:rsidP="003D6F32">
      <w:pPr>
        <w:pStyle w:val="FootnoteText"/>
        <w:ind w:left="284" w:hanging="284"/>
        <w:jc w:val="both"/>
      </w:pPr>
      <w:r>
        <w:rPr>
          <w:rStyle w:val="FootnoteReference"/>
        </w:rPr>
        <w:footnoteRef/>
      </w:r>
      <w:r>
        <w:t xml:space="preserve"> </w:t>
      </w:r>
      <w:r w:rsidRPr="00E37A58">
        <w:rPr>
          <w:i/>
        </w:rPr>
        <w:t>Case of the Afro-descendant Communities displaced from the Cacarica River Basin (Operation Genesis) v. Colombia</w:t>
      </w:r>
      <w:r>
        <w:t>, Preliminary Objections, Merits, Reparations and Costs, Judgment, Inter-Am. Ct. H.R. (ser. C) No. 270, ¶ 410 (Nov. 20, 2013).</w:t>
      </w:r>
    </w:p>
  </w:footnote>
  <w:footnote w:id="196">
    <w:p w:rsidR="00271D38" w:rsidRDefault="00271D38" w:rsidP="003D6F32">
      <w:pPr>
        <w:pStyle w:val="FootnoteText"/>
        <w:jc w:val="both"/>
      </w:pPr>
      <w:r>
        <w:rPr>
          <w:rStyle w:val="FootnoteReference"/>
        </w:rPr>
        <w:footnoteRef/>
      </w:r>
      <w:r>
        <w:t xml:space="preserve"> </w:t>
      </w:r>
      <w:r>
        <w:rPr>
          <w:i/>
        </w:rPr>
        <w:t>Bámaca Velásquez v. Guatemala</w:t>
      </w:r>
      <w:r>
        <w:t>, Merits, Judgment, Inter-Am. Ct. H.R. (ser. C) No. 91, para 191 (Nov. 5, 2000).</w:t>
      </w:r>
    </w:p>
  </w:footnote>
  <w:footnote w:id="197">
    <w:p w:rsidR="00271D38" w:rsidRDefault="00271D38" w:rsidP="003D6F32">
      <w:pPr>
        <w:pStyle w:val="FootnoteText"/>
        <w:jc w:val="both"/>
      </w:pPr>
      <w:r>
        <w:rPr>
          <w:rStyle w:val="FootnoteReference"/>
        </w:rPr>
        <w:footnoteRef/>
      </w:r>
      <w:r>
        <w:t xml:space="preserve"> Hypothetical Case, para 39.</w:t>
      </w:r>
    </w:p>
  </w:footnote>
  <w:footnote w:id="198">
    <w:p w:rsidR="00271D38" w:rsidRDefault="00271D38" w:rsidP="003D6F32">
      <w:pPr>
        <w:pStyle w:val="FootnoteText"/>
        <w:ind w:left="284" w:hanging="284"/>
        <w:jc w:val="both"/>
      </w:pPr>
      <w:r>
        <w:rPr>
          <w:rStyle w:val="FootnoteReference"/>
        </w:rPr>
        <w:footnoteRef/>
      </w:r>
      <w:r>
        <w:t xml:space="preserve"> Marco Gerado Monroy Cabra, “Rights and Duties Established by the American Convention on Human Rights” p.57.</w:t>
      </w:r>
    </w:p>
  </w:footnote>
  <w:footnote w:id="199">
    <w:p w:rsidR="00271D38" w:rsidRDefault="00271D38" w:rsidP="004B69CC">
      <w:pPr>
        <w:pStyle w:val="FootnoteText"/>
        <w:ind w:left="284" w:hanging="284"/>
        <w:jc w:val="both"/>
      </w:pPr>
      <w:r>
        <w:rPr>
          <w:rStyle w:val="FootnoteReference"/>
        </w:rPr>
        <w:footnoteRef/>
      </w:r>
      <w:r>
        <w:t xml:space="preserve"> </w:t>
      </w:r>
      <w:r>
        <w:rPr>
          <w:color w:val="000000"/>
        </w:rPr>
        <w:t xml:space="preserve">Organization of American States (OAS), </w:t>
      </w:r>
      <w:r>
        <w:rPr>
          <w:i/>
          <w:iCs/>
          <w:color w:val="000000"/>
        </w:rPr>
        <w:t>American Convention on Human Rights, "Pact of San Jose", Costa Rica</w:t>
      </w:r>
      <w:r>
        <w:rPr>
          <w:color w:val="000000"/>
        </w:rPr>
        <w:t>, 22 November 1969.</w:t>
      </w:r>
    </w:p>
  </w:footnote>
  <w:footnote w:id="200">
    <w:p w:rsidR="00271D38" w:rsidRDefault="00271D38" w:rsidP="00BB534A">
      <w:pPr>
        <w:pStyle w:val="FootnoteText"/>
        <w:ind w:left="284" w:hanging="284"/>
        <w:jc w:val="both"/>
      </w:pPr>
      <w:r>
        <w:rPr>
          <w:rStyle w:val="FootnoteReference"/>
        </w:rPr>
        <w:footnoteRef/>
      </w:r>
      <w:r>
        <w:t xml:space="preserve"> International Labour Organization (ILO), </w:t>
      </w:r>
      <w:r w:rsidRPr="00230B38">
        <w:rPr>
          <w:i/>
        </w:rPr>
        <w:t>Indigenous and Tribal People’s Convention</w:t>
      </w:r>
      <w:r>
        <w:t>, C169, 27 June, 1989.</w:t>
      </w:r>
    </w:p>
  </w:footnote>
  <w:footnote w:id="201">
    <w:p w:rsidR="00271D38" w:rsidRDefault="00271D38" w:rsidP="00BB534A">
      <w:pPr>
        <w:pStyle w:val="FootnoteText"/>
        <w:jc w:val="both"/>
      </w:pPr>
      <w:r>
        <w:rPr>
          <w:rStyle w:val="FootnoteReference"/>
        </w:rPr>
        <w:footnoteRef/>
      </w:r>
      <w:r>
        <w:t xml:space="preserve"> Hypothetical Case, para 40.</w:t>
      </w:r>
    </w:p>
  </w:footnote>
  <w:footnote w:id="202">
    <w:p w:rsidR="00271D38" w:rsidRDefault="00271D38" w:rsidP="004B69CC">
      <w:pPr>
        <w:pStyle w:val="FootnoteText"/>
        <w:ind w:left="284" w:hanging="284"/>
        <w:jc w:val="both"/>
        <w:rPr>
          <w:color w:val="000000" w:themeColor="text1"/>
        </w:rPr>
      </w:pPr>
      <w:r>
        <w:rPr>
          <w:rStyle w:val="FootnoteReference"/>
          <w:color w:val="000000" w:themeColor="text1"/>
        </w:rPr>
        <w:footnoteRef/>
      </w:r>
      <w:r>
        <w:rPr>
          <w:color w:val="000000"/>
        </w:rPr>
        <w:t xml:space="preserve">Organization of American States (OAS), </w:t>
      </w:r>
      <w:r>
        <w:rPr>
          <w:i/>
          <w:iCs/>
          <w:color w:val="000000"/>
        </w:rPr>
        <w:t>American Convention on Human Rights, "Pact of San Jose", Costa Rica</w:t>
      </w:r>
      <w:r>
        <w:rPr>
          <w:color w:val="000000"/>
        </w:rPr>
        <w:t>, 22 November 1969.</w:t>
      </w:r>
    </w:p>
  </w:footnote>
  <w:footnote w:id="203">
    <w:p w:rsidR="00271D38" w:rsidRDefault="00271D38" w:rsidP="00BB534A">
      <w:pPr>
        <w:pStyle w:val="FootnoteText"/>
        <w:ind w:left="142" w:hanging="142"/>
        <w:jc w:val="both"/>
        <w:rPr>
          <w:color w:val="000000" w:themeColor="text1"/>
        </w:rPr>
      </w:pPr>
      <w:r>
        <w:rPr>
          <w:rStyle w:val="FootnoteReference"/>
          <w:color w:val="000000" w:themeColor="text1"/>
        </w:rPr>
        <w:footnoteRef/>
      </w:r>
      <w:r>
        <w:rPr>
          <w:color w:val="000000" w:themeColor="text1"/>
        </w:rPr>
        <w:t xml:space="preserve"> Ibid.</w:t>
      </w:r>
    </w:p>
  </w:footnote>
  <w:footnote w:id="204">
    <w:p w:rsidR="00271D38" w:rsidRDefault="00271D38" w:rsidP="00BB534A">
      <w:pPr>
        <w:pStyle w:val="FootnoteText"/>
        <w:ind w:left="142" w:hanging="142"/>
        <w:jc w:val="both"/>
        <w:rPr>
          <w:color w:val="000000" w:themeColor="text1"/>
        </w:rPr>
      </w:pPr>
      <w:r>
        <w:rPr>
          <w:rStyle w:val="FootnoteReference"/>
          <w:color w:val="000000" w:themeColor="text1"/>
        </w:rPr>
        <w:footnoteRef/>
      </w:r>
      <w:r>
        <w:rPr>
          <w:color w:val="000000" w:themeColor="text1"/>
        </w:rPr>
        <w:t xml:space="preserve"> Ibid.</w:t>
      </w:r>
    </w:p>
  </w:footnote>
  <w:footnote w:id="205">
    <w:p w:rsidR="00271D38" w:rsidRDefault="00271D38" w:rsidP="00BB534A">
      <w:pPr>
        <w:pStyle w:val="FootnoteText"/>
        <w:ind w:left="142" w:hanging="142"/>
        <w:jc w:val="both"/>
      </w:pPr>
      <w:r>
        <w:rPr>
          <w:rStyle w:val="FootnoteReference"/>
        </w:rPr>
        <w:footnoteRef/>
      </w:r>
      <w:r>
        <w:t xml:space="preserve"> </w:t>
      </w:r>
      <w:r>
        <w:rPr>
          <w:rFonts w:eastAsia="Times New Roman"/>
          <w:color w:val="000000" w:themeColor="text1"/>
          <w:lang w:eastAsia="en-TT"/>
        </w:rPr>
        <w:t>ACHR Series C No 185 (Official Citation)IHRL 3058 (IACHR 2008).</w:t>
      </w:r>
    </w:p>
  </w:footnote>
  <w:footnote w:id="206">
    <w:p w:rsidR="00271D38" w:rsidRDefault="00271D38" w:rsidP="00BB534A">
      <w:pPr>
        <w:pStyle w:val="FootnoteText"/>
        <w:jc w:val="both"/>
      </w:pPr>
      <w:r>
        <w:rPr>
          <w:rStyle w:val="FootnoteReference"/>
        </w:rPr>
        <w:footnoteRef/>
      </w:r>
      <w:r>
        <w:t xml:space="preserve"> Hypothetical Case, paras 42-45.</w:t>
      </w:r>
    </w:p>
  </w:footnote>
  <w:footnote w:id="207">
    <w:p w:rsidR="00271D38" w:rsidRDefault="00271D38" w:rsidP="00226246">
      <w:pPr>
        <w:pStyle w:val="FootnoteText"/>
        <w:ind w:left="284" w:hanging="284"/>
        <w:jc w:val="both"/>
      </w:pPr>
      <w:r>
        <w:rPr>
          <w:rStyle w:val="FootnoteReference"/>
        </w:rPr>
        <w:footnoteRef/>
      </w:r>
      <w:r>
        <w:t xml:space="preserve"> </w:t>
      </w:r>
      <w:r>
        <w:rPr>
          <w:i/>
        </w:rPr>
        <w:t>Case of the Afro-descendant Communities Displaed from the Cacarica River Basin (Operation Genesis) v. Colombia</w:t>
      </w:r>
      <w:r>
        <w:t>, para 155.</w:t>
      </w:r>
    </w:p>
  </w:footnote>
  <w:footnote w:id="208">
    <w:p w:rsidR="00271D38" w:rsidRDefault="00271D38" w:rsidP="00BB534A">
      <w:pPr>
        <w:pStyle w:val="FootnoteText"/>
        <w:jc w:val="both"/>
      </w:pPr>
      <w:r>
        <w:rPr>
          <w:rStyle w:val="FootnoteReference"/>
        </w:rPr>
        <w:footnoteRef/>
      </w:r>
      <w:r>
        <w:t xml:space="preserve"> Hypothetical Case, para 47.</w:t>
      </w:r>
    </w:p>
  </w:footnote>
  <w:footnote w:id="209">
    <w:p w:rsidR="00271D38" w:rsidRDefault="00271D38" w:rsidP="00226246">
      <w:pPr>
        <w:pStyle w:val="FootnoteText"/>
        <w:ind w:left="284" w:hanging="284"/>
        <w:jc w:val="both"/>
      </w:pPr>
      <w:r>
        <w:rPr>
          <w:rStyle w:val="FootnoteReference"/>
        </w:rPr>
        <w:footnoteRef/>
      </w:r>
      <w:r>
        <w:t xml:space="preserve"> </w:t>
      </w:r>
      <w:r w:rsidRPr="00C53001">
        <w:t xml:space="preserve">ILO, </w:t>
      </w:r>
      <w:r w:rsidRPr="00C53001">
        <w:rPr>
          <w:i/>
          <w:iCs/>
        </w:rPr>
        <w:t>Convention Concerning Indigenous and Tribal Peoples in Independent Countries</w:t>
      </w:r>
      <w:r>
        <w:t xml:space="preserve">, 27 June 1989, 28 ILM, </w:t>
      </w:r>
      <w:r w:rsidRPr="00C53001">
        <w:t>1386 [ILO Convention No. 169].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D38" w:rsidRPr="0063107E" w:rsidRDefault="00271D38" w:rsidP="006A79B8">
    <w:pPr>
      <w:pStyle w:val="Header"/>
      <w:jc w:val="right"/>
      <w:rPr>
        <w:b/>
      </w:rPr>
    </w:pPr>
    <w:r w:rsidRPr="0063107E">
      <w:rPr>
        <w:b/>
      </w:rPr>
      <w:t>101</w:t>
    </w:r>
  </w:p>
  <w:p w:rsidR="00271D38" w:rsidRPr="0063107E" w:rsidRDefault="00271D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5862"/>
    <w:multiLevelType w:val="hybridMultilevel"/>
    <w:tmpl w:val="E7CADC1E"/>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15:restartNumberingAfterBreak="0">
    <w:nsid w:val="081E0CC3"/>
    <w:multiLevelType w:val="hybridMultilevel"/>
    <w:tmpl w:val="C91A9D98"/>
    <w:lvl w:ilvl="0" w:tplc="331C47BE">
      <w:start w:val="1"/>
      <w:numFmt w:val="decimal"/>
      <w:lvlText w:val="%1."/>
      <w:lvlJc w:val="left"/>
      <w:pPr>
        <w:ind w:left="720" w:hanging="360"/>
      </w:pPr>
      <w:rPr>
        <w:rFonts w:hint="default"/>
        <w:color w:val="000000"/>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 w15:restartNumberingAfterBreak="0">
    <w:nsid w:val="124B06FC"/>
    <w:multiLevelType w:val="multilevel"/>
    <w:tmpl w:val="1D4EC1FE"/>
    <w:lvl w:ilvl="0">
      <w:start w:val="1"/>
      <w:numFmt w:val="decimal"/>
      <w:lvlText w:val="%1"/>
      <w:lvlJc w:val="left"/>
      <w:pPr>
        <w:ind w:left="660" w:hanging="660"/>
      </w:pPr>
      <w:rPr>
        <w:rFonts w:ascii="Times New Roman" w:eastAsia="Times New Roman" w:hAnsi="Times New Roman" w:cs="Times New Roman" w:hint="default"/>
        <w:b/>
        <w:color w:val="0000FF" w:themeColor="hyperlink"/>
        <w:sz w:val="24"/>
        <w:u w:val="single"/>
      </w:rPr>
    </w:lvl>
    <w:lvl w:ilvl="1">
      <w:start w:val="1"/>
      <w:numFmt w:val="decimal"/>
      <w:lvlText w:val="%1.%2"/>
      <w:lvlJc w:val="left"/>
      <w:pPr>
        <w:ind w:left="880" w:hanging="660"/>
      </w:pPr>
      <w:rPr>
        <w:rFonts w:ascii="Times New Roman" w:eastAsia="Times New Roman" w:hAnsi="Times New Roman" w:cs="Times New Roman" w:hint="default"/>
        <w:b/>
        <w:color w:val="000000" w:themeColor="text1"/>
        <w:sz w:val="24"/>
        <w:u w:val="none"/>
      </w:rPr>
    </w:lvl>
    <w:lvl w:ilvl="2">
      <w:start w:val="1"/>
      <w:numFmt w:val="decimal"/>
      <w:lvlText w:val="%1.%2.%3"/>
      <w:lvlJc w:val="left"/>
      <w:pPr>
        <w:ind w:left="1160" w:hanging="720"/>
      </w:pPr>
      <w:rPr>
        <w:rFonts w:ascii="Times New Roman" w:eastAsia="Times New Roman" w:hAnsi="Times New Roman" w:cs="Times New Roman" w:hint="default"/>
        <w:b/>
        <w:color w:val="0000FF" w:themeColor="hyperlink"/>
        <w:sz w:val="24"/>
        <w:u w:val="single"/>
      </w:rPr>
    </w:lvl>
    <w:lvl w:ilvl="3">
      <w:start w:val="1"/>
      <w:numFmt w:val="decimal"/>
      <w:lvlText w:val="%1.%2.%3.%4"/>
      <w:lvlJc w:val="left"/>
      <w:pPr>
        <w:ind w:left="1380" w:hanging="720"/>
      </w:pPr>
      <w:rPr>
        <w:rFonts w:ascii="Times New Roman" w:eastAsia="Times New Roman" w:hAnsi="Times New Roman" w:cs="Times New Roman" w:hint="default"/>
        <w:b/>
        <w:color w:val="0000FF" w:themeColor="hyperlink"/>
        <w:sz w:val="24"/>
        <w:u w:val="single"/>
      </w:rPr>
    </w:lvl>
    <w:lvl w:ilvl="4">
      <w:start w:val="1"/>
      <w:numFmt w:val="decimal"/>
      <w:lvlText w:val="%1.%2.%3.%4.%5"/>
      <w:lvlJc w:val="left"/>
      <w:pPr>
        <w:ind w:left="1960" w:hanging="1080"/>
      </w:pPr>
      <w:rPr>
        <w:rFonts w:ascii="Times New Roman" w:eastAsia="Times New Roman" w:hAnsi="Times New Roman" w:cs="Times New Roman" w:hint="default"/>
        <w:b/>
        <w:color w:val="0000FF" w:themeColor="hyperlink"/>
        <w:sz w:val="24"/>
        <w:u w:val="single"/>
      </w:rPr>
    </w:lvl>
    <w:lvl w:ilvl="5">
      <w:start w:val="1"/>
      <w:numFmt w:val="decimal"/>
      <w:lvlText w:val="%1.%2.%3.%4.%5.%6"/>
      <w:lvlJc w:val="left"/>
      <w:pPr>
        <w:ind w:left="2180" w:hanging="1080"/>
      </w:pPr>
      <w:rPr>
        <w:rFonts w:ascii="Times New Roman" w:eastAsia="Times New Roman" w:hAnsi="Times New Roman" w:cs="Times New Roman" w:hint="default"/>
        <w:b/>
        <w:color w:val="0000FF" w:themeColor="hyperlink"/>
        <w:sz w:val="24"/>
        <w:u w:val="single"/>
      </w:rPr>
    </w:lvl>
    <w:lvl w:ilvl="6">
      <w:start w:val="1"/>
      <w:numFmt w:val="decimal"/>
      <w:lvlText w:val="%1.%2.%3.%4.%5.%6.%7"/>
      <w:lvlJc w:val="left"/>
      <w:pPr>
        <w:ind w:left="2760" w:hanging="1440"/>
      </w:pPr>
      <w:rPr>
        <w:rFonts w:ascii="Times New Roman" w:eastAsia="Times New Roman" w:hAnsi="Times New Roman" w:cs="Times New Roman" w:hint="default"/>
        <w:b/>
        <w:color w:val="0000FF" w:themeColor="hyperlink"/>
        <w:sz w:val="24"/>
        <w:u w:val="single"/>
      </w:rPr>
    </w:lvl>
    <w:lvl w:ilvl="7">
      <w:start w:val="1"/>
      <w:numFmt w:val="decimal"/>
      <w:lvlText w:val="%1.%2.%3.%4.%5.%6.%7.%8"/>
      <w:lvlJc w:val="left"/>
      <w:pPr>
        <w:ind w:left="2980" w:hanging="1440"/>
      </w:pPr>
      <w:rPr>
        <w:rFonts w:ascii="Times New Roman" w:eastAsia="Times New Roman" w:hAnsi="Times New Roman" w:cs="Times New Roman" w:hint="default"/>
        <w:b/>
        <w:color w:val="0000FF" w:themeColor="hyperlink"/>
        <w:sz w:val="24"/>
        <w:u w:val="single"/>
      </w:rPr>
    </w:lvl>
    <w:lvl w:ilvl="8">
      <w:start w:val="1"/>
      <w:numFmt w:val="decimal"/>
      <w:lvlText w:val="%1.%2.%3.%4.%5.%6.%7.%8.%9"/>
      <w:lvlJc w:val="left"/>
      <w:pPr>
        <w:ind w:left="3200" w:hanging="1440"/>
      </w:pPr>
      <w:rPr>
        <w:rFonts w:ascii="Times New Roman" w:eastAsia="Times New Roman" w:hAnsi="Times New Roman" w:cs="Times New Roman" w:hint="default"/>
        <w:b/>
        <w:color w:val="0000FF" w:themeColor="hyperlink"/>
        <w:sz w:val="24"/>
        <w:u w:val="single"/>
      </w:rPr>
    </w:lvl>
  </w:abstractNum>
  <w:abstractNum w:abstractNumId="3" w15:restartNumberingAfterBreak="0">
    <w:nsid w:val="3C0A7D95"/>
    <w:multiLevelType w:val="multilevel"/>
    <w:tmpl w:val="315CE3A4"/>
    <w:lvl w:ilvl="0">
      <w:start w:val="1"/>
      <w:numFmt w:val="decimal"/>
      <w:lvlText w:val="%1"/>
      <w:lvlJc w:val="left"/>
      <w:pPr>
        <w:ind w:left="480" w:hanging="480"/>
      </w:pPr>
      <w:rPr>
        <w:rFonts w:eastAsiaTheme="majorEastAsia" w:hint="default"/>
      </w:rPr>
    </w:lvl>
    <w:lvl w:ilvl="1">
      <w:start w:val="1"/>
      <w:numFmt w:val="decimal"/>
      <w:lvlText w:val="%1.%2"/>
      <w:lvlJc w:val="left"/>
      <w:pPr>
        <w:ind w:left="660" w:hanging="480"/>
      </w:pPr>
      <w:rPr>
        <w:rFonts w:eastAsiaTheme="majorEastAsia" w:hint="default"/>
      </w:rPr>
    </w:lvl>
    <w:lvl w:ilvl="2">
      <w:start w:val="2"/>
      <w:numFmt w:val="decimal"/>
      <w:lvlText w:val="%1.%2.%3"/>
      <w:lvlJc w:val="left"/>
      <w:pPr>
        <w:ind w:left="1080" w:hanging="720"/>
      </w:pPr>
      <w:rPr>
        <w:rFonts w:eastAsiaTheme="majorEastAsia" w:hint="default"/>
      </w:rPr>
    </w:lvl>
    <w:lvl w:ilvl="3">
      <w:start w:val="1"/>
      <w:numFmt w:val="decimal"/>
      <w:lvlText w:val="%1.%2.%3.%4"/>
      <w:lvlJc w:val="left"/>
      <w:pPr>
        <w:ind w:left="1260" w:hanging="720"/>
      </w:pPr>
      <w:rPr>
        <w:rFonts w:eastAsiaTheme="majorEastAsia" w:hint="default"/>
      </w:rPr>
    </w:lvl>
    <w:lvl w:ilvl="4">
      <w:start w:val="1"/>
      <w:numFmt w:val="decimal"/>
      <w:lvlText w:val="%1.%2.%3.%4.%5"/>
      <w:lvlJc w:val="left"/>
      <w:pPr>
        <w:ind w:left="1800" w:hanging="1080"/>
      </w:pPr>
      <w:rPr>
        <w:rFonts w:eastAsiaTheme="majorEastAsia" w:hint="default"/>
      </w:rPr>
    </w:lvl>
    <w:lvl w:ilvl="5">
      <w:start w:val="1"/>
      <w:numFmt w:val="decimal"/>
      <w:lvlText w:val="%1.%2.%3.%4.%5.%6"/>
      <w:lvlJc w:val="left"/>
      <w:pPr>
        <w:ind w:left="1980" w:hanging="1080"/>
      </w:pPr>
      <w:rPr>
        <w:rFonts w:eastAsiaTheme="majorEastAsia" w:hint="default"/>
      </w:rPr>
    </w:lvl>
    <w:lvl w:ilvl="6">
      <w:start w:val="1"/>
      <w:numFmt w:val="decimal"/>
      <w:lvlText w:val="%1.%2.%3.%4.%5.%6.%7"/>
      <w:lvlJc w:val="left"/>
      <w:pPr>
        <w:ind w:left="2520" w:hanging="1440"/>
      </w:pPr>
      <w:rPr>
        <w:rFonts w:eastAsiaTheme="majorEastAsia" w:hint="default"/>
      </w:rPr>
    </w:lvl>
    <w:lvl w:ilvl="7">
      <w:start w:val="1"/>
      <w:numFmt w:val="decimal"/>
      <w:lvlText w:val="%1.%2.%3.%4.%5.%6.%7.%8"/>
      <w:lvlJc w:val="left"/>
      <w:pPr>
        <w:ind w:left="2700" w:hanging="1440"/>
      </w:pPr>
      <w:rPr>
        <w:rFonts w:eastAsiaTheme="majorEastAsia" w:hint="default"/>
      </w:rPr>
    </w:lvl>
    <w:lvl w:ilvl="8">
      <w:start w:val="1"/>
      <w:numFmt w:val="decimal"/>
      <w:lvlText w:val="%1.%2.%3.%4.%5.%6.%7.%8.%9"/>
      <w:lvlJc w:val="left"/>
      <w:pPr>
        <w:ind w:left="3240" w:hanging="1800"/>
      </w:pPr>
      <w:rPr>
        <w:rFonts w:eastAsiaTheme="majorEastAsia" w:hint="default"/>
      </w:rPr>
    </w:lvl>
  </w:abstractNum>
  <w:abstractNum w:abstractNumId="4" w15:restartNumberingAfterBreak="0">
    <w:nsid w:val="3DD550CE"/>
    <w:multiLevelType w:val="hybridMultilevel"/>
    <w:tmpl w:val="8D5A177E"/>
    <w:lvl w:ilvl="0" w:tplc="2C09000F">
      <w:start w:val="4"/>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5" w15:restartNumberingAfterBreak="0">
    <w:nsid w:val="6559576B"/>
    <w:multiLevelType w:val="multilevel"/>
    <w:tmpl w:val="B45A8D9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5B51668"/>
    <w:multiLevelType w:val="hybridMultilevel"/>
    <w:tmpl w:val="D0AE44E0"/>
    <w:lvl w:ilvl="0" w:tplc="2C09000F">
      <w:start w:val="4"/>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7" w15:restartNumberingAfterBreak="0">
    <w:nsid w:val="685A110A"/>
    <w:multiLevelType w:val="hybridMultilevel"/>
    <w:tmpl w:val="9E360358"/>
    <w:lvl w:ilvl="0" w:tplc="2C09000F">
      <w:start w:val="4"/>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8" w15:restartNumberingAfterBreak="0">
    <w:nsid w:val="750F0D66"/>
    <w:multiLevelType w:val="multilevel"/>
    <w:tmpl w:val="F3DCDA4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7D3C3788"/>
    <w:multiLevelType w:val="multilevel"/>
    <w:tmpl w:val="40D0CB3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
  </w:num>
  <w:num w:numId="3">
    <w:abstractNumId w:val="0"/>
  </w:num>
  <w:num w:numId="4">
    <w:abstractNumId w:val="3"/>
  </w:num>
  <w:num w:numId="5">
    <w:abstractNumId w:val="8"/>
  </w:num>
  <w:num w:numId="6">
    <w:abstractNumId w:val="2"/>
  </w:num>
  <w:num w:numId="7">
    <w:abstractNumId w:val="4"/>
  </w:num>
  <w:num w:numId="8">
    <w:abstractNumId w:val="6"/>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ABE"/>
    <w:rsid w:val="000029E9"/>
    <w:rsid w:val="00014B9D"/>
    <w:rsid w:val="000162AA"/>
    <w:rsid w:val="0001637C"/>
    <w:rsid w:val="00017238"/>
    <w:rsid w:val="00017500"/>
    <w:rsid w:val="00022FAB"/>
    <w:rsid w:val="0002500A"/>
    <w:rsid w:val="00034663"/>
    <w:rsid w:val="000350BC"/>
    <w:rsid w:val="0004494F"/>
    <w:rsid w:val="00056061"/>
    <w:rsid w:val="00061F5E"/>
    <w:rsid w:val="00064DCE"/>
    <w:rsid w:val="00071361"/>
    <w:rsid w:val="00075E9A"/>
    <w:rsid w:val="0008428C"/>
    <w:rsid w:val="000921D4"/>
    <w:rsid w:val="000926F1"/>
    <w:rsid w:val="000957FB"/>
    <w:rsid w:val="000A061F"/>
    <w:rsid w:val="000B5613"/>
    <w:rsid w:val="000B760B"/>
    <w:rsid w:val="000C590D"/>
    <w:rsid w:val="000C741C"/>
    <w:rsid w:val="000D06CA"/>
    <w:rsid w:val="000D559C"/>
    <w:rsid w:val="000E0E4D"/>
    <w:rsid w:val="000E142D"/>
    <w:rsid w:val="000E1651"/>
    <w:rsid w:val="000E1BAB"/>
    <w:rsid w:val="000E1FEF"/>
    <w:rsid w:val="000E55D3"/>
    <w:rsid w:val="000E637C"/>
    <w:rsid w:val="000E7147"/>
    <w:rsid w:val="000F4FD5"/>
    <w:rsid w:val="000F5131"/>
    <w:rsid w:val="00103AB2"/>
    <w:rsid w:val="00106CC6"/>
    <w:rsid w:val="00107EDA"/>
    <w:rsid w:val="00117D67"/>
    <w:rsid w:val="00123ACE"/>
    <w:rsid w:val="0012709A"/>
    <w:rsid w:val="0013337D"/>
    <w:rsid w:val="00141A04"/>
    <w:rsid w:val="001445D3"/>
    <w:rsid w:val="0014519F"/>
    <w:rsid w:val="00146184"/>
    <w:rsid w:val="00147481"/>
    <w:rsid w:val="00157F5D"/>
    <w:rsid w:val="00163B9E"/>
    <w:rsid w:val="001713E9"/>
    <w:rsid w:val="00180E64"/>
    <w:rsid w:val="00181424"/>
    <w:rsid w:val="001842BC"/>
    <w:rsid w:val="0018656A"/>
    <w:rsid w:val="00187338"/>
    <w:rsid w:val="00191B7F"/>
    <w:rsid w:val="001A4702"/>
    <w:rsid w:val="001B0461"/>
    <w:rsid w:val="001B12D2"/>
    <w:rsid w:val="001B4C6B"/>
    <w:rsid w:val="001B59C5"/>
    <w:rsid w:val="001C1194"/>
    <w:rsid w:val="001C1797"/>
    <w:rsid w:val="001C6781"/>
    <w:rsid w:val="001C70A3"/>
    <w:rsid w:val="001D2A6B"/>
    <w:rsid w:val="001D5C8B"/>
    <w:rsid w:val="001E2AFE"/>
    <w:rsid w:val="001E324A"/>
    <w:rsid w:val="001E490F"/>
    <w:rsid w:val="001E77D6"/>
    <w:rsid w:val="002005B8"/>
    <w:rsid w:val="00210303"/>
    <w:rsid w:val="00212DB2"/>
    <w:rsid w:val="00215C26"/>
    <w:rsid w:val="00217C09"/>
    <w:rsid w:val="00225436"/>
    <w:rsid w:val="00226246"/>
    <w:rsid w:val="00226B28"/>
    <w:rsid w:val="00230B38"/>
    <w:rsid w:val="002326D6"/>
    <w:rsid w:val="0023537A"/>
    <w:rsid w:val="0023545D"/>
    <w:rsid w:val="0023780F"/>
    <w:rsid w:val="00237AB1"/>
    <w:rsid w:val="00245553"/>
    <w:rsid w:val="00245757"/>
    <w:rsid w:val="00255BDF"/>
    <w:rsid w:val="00271D38"/>
    <w:rsid w:val="002735EE"/>
    <w:rsid w:val="00274D7B"/>
    <w:rsid w:val="00275AB9"/>
    <w:rsid w:val="00276D32"/>
    <w:rsid w:val="002838B7"/>
    <w:rsid w:val="002838DA"/>
    <w:rsid w:val="002843D9"/>
    <w:rsid w:val="0028602E"/>
    <w:rsid w:val="00292AE4"/>
    <w:rsid w:val="002A073D"/>
    <w:rsid w:val="002A0DE8"/>
    <w:rsid w:val="002A5179"/>
    <w:rsid w:val="002A6898"/>
    <w:rsid w:val="002A6A02"/>
    <w:rsid w:val="002B0383"/>
    <w:rsid w:val="002B1536"/>
    <w:rsid w:val="002B6168"/>
    <w:rsid w:val="002D16DC"/>
    <w:rsid w:val="002D209C"/>
    <w:rsid w:val="002D26C4"/>
    <w:rsid w:val="002D397A"/>
    <w:rsid w:val="002D51E8"/>
    <w:rsid w:val="002D725B"/>
    <w:rsid w:val="002E5AFA"/>
    <w:rsid w:val="002E61E0"/>
    <w:rsid w:val="002E7CE7"/>
    <w:rsid w:val="003071A4"/>
    <w:rsid w:val="00310453"/>
    <w:rsid w:val="00311F27"/>
    <w:rsid w:val="0031272A"/>
    <w:rsid w:val="00313C4E"/>
    <w:rsid w:val="00321100"/>
    <w:rsid w:val="00336DDF"/>
    <w:rsid w:val="0034497C"/>
    <w:rsid w:val="003452B4"/>
    <w:rsid w:val="003475A7"/>
    <w:rsid w:val="00350A47"/>
    <w:rsid w:val="00357C2F"/>
    <w:rsid w:val="0036159A"/>
    <w:rsid w:val="00365EBD"/>
    <w:rsid w:val="00367F44"/>
    <w:rsid w:val="00371348"/>
    <w:rsid w:val="00372643"/>
    <w:rsid w:val="00384FBD"/>
    <w:rsid w:val="00386E36"/>
    <w:rsid w:val="00390D1D"/>
    <w:rsid w:val="00395700"/>
    <w:rsid w:val="00396C67"/>
    <w:rsid w:val="003A2900"/>
    <w:rsid w:val="003A6EF4"/>
    <w:rsid w:val="003B4FAF"/>
    <w:rsid w:val="003C5B19"/>
    <w:rsid w:val="003D4717"/>
    <w:rsid w:val="003D6F32"/>
    <w:rsid w:val="003D7A85"/>
    <w:rsid w:val="003E2263"/>
    <w:rsid w:val="003E496E"/>
    <w:rsid w:val="003E67CE"/>
    <w:rsid w:val="003F12EB"/>
    <w:rsid w:val="003F5448"/>
    <w:rsid w:val="0040463A"/>
    <w:rsid w:val="004142EA"/>
    <w:rsid w:val="00434564"/>
    <w:rsid w:val="00443212"/>
    <w:rsid w:val="0044555A"/>
    <w:rsid w:val="00447F65"/>
    <w:rsid w:val="0045288D"/>
    <w:rsid w:val="00455EB1"/>
    <w:rsid w:val="00456831"/>
    <w:rsid w:val="00463348"/>
    <w:rsid w:val="004649ED"/>
    <w:rsid w:val="004667AB"/>
    <w:rsid w:val="00466C86"/>
    <w:rsid w:val="00486914"/>
    <w:rsid w:val="004879A9"/>
    <w:rsid w:val="004924A8"/>
    <w:rsid w:val="004A3D7F"/>
    <w:rsid w:val="004A47BA"/>
    <w:rsid w:val="004A4D7B"/>
    <w:rsid w:val="004A50E9"/>
    <w:rsid w:val="004A72E6"/>
    <w:rsid w:val="004B395E"/>
    <w:rsid w:val="004B5536"/>
    <w:rsid w:val="004B69CC"/>
    <w:rsid w:val="004C27F4"/>
    <w:rsid w:val="004C425C"/>
    <w:rsid w:val="004C7922"/>
    <w:rsid w:val="004D0DDD"/>
    <w:rsid w:val="004E22F0"/>
    <w:rsid w:val="004E5C1B"/>
    <w:rsid w:val="004E5E1A"/>
    <w:rsid w:val="004F158A"/>
    <w:rsid w:val="004F2ED4"/>
    <w:rsid w:val="004F4736"/>
    <w:rsid w:val="004F6092"/>
    <w:rsid w:val="004F7047"/>
    <w:rsid w:val="00502700"/>
    <w:rsid w:val="0050290D"/>
    <w:rsid w:val="005122B3"/>
    <w:rsid w:val="00517826"/>
    <w:rsid w:val="00522CFC"/>
    <w:rsid w:val="00534650"/>
    <w:rsid w:val="005366D4"/>
    <w:rsid w:val="005476DB"/>
    <w:rsid w:val="005501CE"/>
    <w:rsid w:val="00560B54"/>
    <w:rsid w:val="00567292"/>
    <w:rsid w:val="00573F84"/>
    <w:rsid w:val="005743BC"/>
    <w:rsid w:val="00576788"/>
    <w:rsid w:val="005814F5"/>
    <w:rsid w:val="00581FD0"/>
    <w:rsid w:val="005840EC"/>
    <w:rsid w:val="00585A7C"/>
    <w:rsid w:val="00587425"/>
    <w:rsid w:val="00597B81"/>
    <w:rsid w:val="005A19C5"/>
    <w:rsid w:val="005A4F72"/>
    <w:rsid w:val="005B42C9"/>
    <w:rsid w:val="005B5C84"/>
    <w:rsid w:val="005C3533"/>
    <w:rsid w:val="005D1026"/>
    <w:rsid w:val="005D7390"/>
    <w:rsid w:val="005D7630"/>
    <w:rsid w:val="005E22A4"/>
    <w:rsid w:val="005E3F9D"/>
    <w:rsid w:val="005E5237"/>
    <w:rsid w:val="005E553E"/>
    <w:rsid w:val="005F0520"/>
    <w:rsid w:val="005F4EE2"/>
    <w:rsid w:val="006056F0"/>
    <w:rsid w:val="006066AF"/>
    <w:rsid w:val="0061172A"/>
    <w:rsid w:val="00614341"/>
    <w:rsid w:val="006263A0"/>
    <w:rsid w:val="0063037A"/>
    <w:rsid w:val="006428A2"/>
    <w:rsid w:val="00652C0C"/>
    <w:rsid w:val="00653CBB"/>
    <w:rsid w:val="00670345"/>
    <w:rsid w:val="00680211"/>
    <w:rsid w:val="006A283C"/>
    <w:rsid w:val="006A285D"/>
    <w:rsid w:val="006A60CB"/>
    <w:rsid w:val="006A6B59"/>
    <w:rsid w:val="006A79B8"/>
    <w:rsid w:val="006B1A90"/>
    <w:rsid w:val="006B233D"/>
    <w:rsid w:val="006B723E"/>
    <w:rsid w:val="006C108F"/>
    <w:rsid w:val="006C2065"/>
    <w:rsid w:val="006C5046"/>
    <w:rsid w:val="006C591C"/>
    <w:rsid w:val="006C6793"/>
    <w:rsid w:val="006D2F9B"/>
    <w:rsid w:val="006D627B"/>
    <w:rsid w:val="006D6B63"/>
    <w:rsid w:val="006E08C3"/>
    <w:rsid w:val="006E1F78"/>
    <w:rsid w:val="006E5D15"/>
    <w:rsid w:val="006E7E0E"/>
    <w:rsid w:val="006F01D2"/>
    <w:rsid w:val="00716BC6"/>
    <w:rsid w:val="00724162"/>
    <w:rsid w:val="00727F30"/>
    <w:rsid w:val="0073054F"/>
    <w:rsid w:val="00731D81"/>
    <w:rsid w:val="00733E80"/>
    <w:rsid w:val="00737915"/>
    <w:rsid w:val="00750EEC"/>
    <w:rsid w:val="00756EB6"/>
    <w:rsid w:val="007656B2"/>
    <w:rsid w:val="007672EE"/>
    <w:rsid w:val="007811F7"/>
    <w:rsid w:val="00782C2F"/>
    <w:rsid w:val="007B3697"/>
    <w:rsid w:val="007B55E4"/>
    <w:rsid w:val="007C0630"/>
    <w:rsid w:val="007C177E"/>
    <w:rsid w:val="007C53B7"/>
    <w:rsid w:val="007D664C"/>
    <w:rsid w:val="007E3B72"/>
    <w:rsid w:val="007E4533"/>
    <w:rsid w:val="007F03AF"/>
    <w:rsid w:val="007F53DE"/>
    <w:rsid w:val="007F6F61"/>
    <w:rsid w:val="007F7E8A"/>
    <w:rsid w:val="00800D34"/>
    <w:rsid w:val="00803EAF"/>
    <w:rsid w:val="00804FDC"/>
    <w:rsid w:val="00821985"/>
    <w:rsid w:val="00823A1F"/>
    <w:rsid w:val="00826C8A"/>
    <w:rsid w:val="0083093B"/>
    <w:rsid w:val="00835E4D"/>
    <w:rsid w:val="00841FE9"/>
    <w:rsid w:val="00846F6C"/>
    <w:rsid w:val="0084722A"/>
    <w:rsid w:val="0085321C"/>
    <w:rsid w:val="00856B74"/>
    <w:rsid w:val="008625DC"/>
    <w:rsid w:val="00880C0D"/>
    <w:rsid w:val="00884659"/>
    <w:rsid w:val="00885537"/>
    <w:rsid w:val="00885958"/>
    <w:rsid w:val="00886139"/>
    <w:rsid w:val="00886E65"/>
    <w:rsid w:val="008918B5"/>
    <w:rsid w:val="00893A85"/>
    <w:rsid w:val="00894351"/>
    <w:rsid w:val="008979E2"/>
    <w:rsid w:val="008C2D46"/>
    <w:rsid w:val="008D3D1C"/>
    <w:rsid w:val="008D4941"/>
    <w:rsid w:val="008D63F5"/>
    <w:rsid w:val="008F01FF"/>
    <w:rsid w:val="008F46F5"/>
    <w:rsid w:val="00901663"/>
    <w:rsid w:val="009111CC"/>
    <w:rsid w:val="0091740D"/>
    <w:rsid w:val="00921AB5"/>
    <w:rsid w:val="0092741A"/>
    <w:rsid w:val="00933AA1"/>
    <w:rsid w:val="00935F07"/>
    <w:rsid w:val="009368F6"/>
    <w:rsid w:val="00942483"/>
    <w:rsid w:val="00943569"/>
    <w:rsid w:val="00953F63"/>
    <w:rsid w:val="009556AE"/>
    <w:rsid w:val="009559FB"/>
    <w:rsid w:val="009659D6"/>
    <w:rsid w:val="00970351"/>
    <w:rsid w:val="00970A9C"/>
    <w:rsid w:val="00970BF3"/>
    <w:rsid w:val="009714D3"/>
    <w:rsid w:val="009768B0"/>
    <w:rsid w:val="0097691E"/>
    <w:rsid w:val="00980429"/>
    <w:rsid w:val="00983406"/>
    <w:rsid w:val="009871FD"/>
    <w:rsid w:val="009A197D"/>
    <w:rsid w:val="009A4C40"/>
    <w:rsid w:val="009A7F01"/>
    <w:rsid w:val="009B00F8"/>
    <w:rsid w:val="009B10CE"/>
    <w:rsid w:val="009B3177"/>
    <w:rsid w:val="009B3AB7"/>
    <w:rsid w:val="009C7D5F"/>
    <w:rsid w:val="009D6D64"/>
    <w:rsid w:val="009D7430"/>
    <w:rsid w:val="009E5DC9"/>
    <w:rsid w:val="009E76D5"/>
    <w:rsid w:val="009F21D3"/>
    <w:rsid w:val="009F28FB"/>
    <w:rsid w:val="009F2EF0"/>
    <w:rsid w:val="009F5468"/>
    <w:rsid w:val="009F63E0"/>
    <w:rsid w:val="00A051B3"/>
    <w:rsid w:val="00A06536"/>
    <w:rsid w:val="00A079C9"/>
    <w:rsid w:val="00A11C82"/>
    <w:rsid w:val="00A2297B"/>
    <w:rsid w:val="00A233E5"/>
    <w:rsid w:val="00A23F1A"/>
    <w:rsid w:val="00A240C1"/>
    <w:rsid w:val="00A27EC7"/>
    <w:rsid w:val="00A3606F"/>
    <w:rsid w:val="00A36143"/>
    <w:rsid w:val="00A41FC4"/>
    <w:rsid w:val="00A44BF0"/>
    <w:rsid w:val="00A52779"/>
    <w:rsid w:val="00A606DE"/>
    <w:rsid w:val="00A60E6F"/>
    <w:rsid w:val="00A63BDA"/>
    <w:rsid w:val="00A75207"/>
    <w:rsid w:val="00A774A2"/>
    <w:rsid w:val="00A77A21"/>
    <w:rsid w:val="00A77BA2"/>
    <w:rsid w:val="00A86690"/>
    <w:rsid w:val="00A94D14"/>
    <w:rsid w:val="00A95496"/>
    <w:rsid w:val="00AA45DD"/>
    <w:rsid w:val="00AA4A89"/>
    <w:rsid w:val="00AA6FF6"/>
    <w:rsid w:val="00AB13D7"/>
    <w:rsid w:val="00AB1CCF"/>
    <w:rsid w:val="00AC1DFA"/>
    <w:rsid w:val="00AC40D7"/>
    <w:rsid w:val="00AC5F27"/>
    <w:rsid w:val="00AD5D2C"/>
    <w:rsid w:val="00AE124B"/>
    <w:rsid w:val="00AE67B6"/>
    <w:rsid w:val="00AE686B"/>
    <w:rsid w:val="00B10439"/>
    <w:rsid w:val="00B177D5"/>
    <w:rsid w:val="00B223DD"/>
    <w:rsid w:val="00B23CD6"/>
    <w:rsid w:val="00B2737B"/>
    <w:rsid w:val="00B5667E"/>
    <w:rsid w:val="00B57289"/>
    <w:rsid w:val="00B60A36"/>
    <w:rsid w:val="00B67227"/>
    <w:rsid w:val="00B70CA3"/>
    <w:rsid w:val="00B74A2E"/>
    <w:rsid w:val="00B80A6E"/>
    <w:rsid w:val="00B80AAA"/>
    <w:rsid w:val="00B81365"/>
    <w:rsid w:val="00B8284C"/>
    <w:rsid w:val="00B8415D"/>
    <w:rsid w:val="00B9326E"/>
    <w:rsid w:val="00B95E18"/>
    <w:rsid w:val="00BA3533"/>
    <w:rsid w:val="00BA5DB1"/>
    <w:rsid w:val="00BB39EE"/>
    <w:rsid w:val="00BB534A"/>
    <w:rsid w:val="00BB5CC8"/>
    <w:rsid w:val="00BC11BC"/>
    <w:rsid w:val="00BC1A85"/>
    <w:rsid w:val="00BD4939"/>
    <w:rsid w:val="00BD4AF1"/>
    <w:rsid w:val="00BD5E7C"/>
    <w:rsid w:val="00BE0134"/>
    <w:rsid w:val="00BE4F3D"/>
    <w:rsid w:val="00BE7256"/>
    <w:rsid w:val="00BF679A"/>
    <w:rsid w:val="00C11286"/>
    <w:rsid w:val="00C15BE3"/>
    <w:rsid w:val="00C226B5"/>
    <w:rsid w:val="00C238C3"/>
    <w:rsid w:val="00C243EA"/>
    <w:rsid w:val="00C274E2"/>
    <w:rsid w:val="00C37D26"/>
    <w:rsid w:val="00C51286"/>
    <w:rsid w:val="00C52A85"/>
    <w:rsid w:val="00C53001"/>
    <w:rsid w:val="00C53B7C"/>
    <w:rsid w:val="00C53D1C"/>
    <w:rsid w:val="00C56FD1"/>
    <w:rsid w:val="00C61900"/>
    <w:rsid w:val="00C73A7E"/>
    <w:rsid w:val="00C74A5E"/>
    <w:rsid w:val="00C76BF8"/>
    <w:rsid w:val="00C7705B"/>
    <w:rsid w:val="00C7790F"/>
    <w:rsid w:val="00C85F4C"/>
    <w:rsid w:val="00C8729B"/>
    <w:rsid w:val="00C907C0"/>
    <w:rsid w:val="00C93F7E"/>
    <w:rsid w:val="00C949AD"/>
    <w:rsid w:val="00C94FF8"/>
    <w:rsid w:val="00CA44BD"/>
    <w:rsid w:val="00CA55EA"/>
    <w:rsid w:val="00CA6929"/>
    <w:rsid w:val="00CB45EE"/>
    <w:rsid w:val="00CB4FB6"/>
    <w:rsid w:val="00CB731E"/>
    <w:rsid w:val="00CC6761"/>
    <w:rsid w:val="00CD01BE"/>
    <w:rsid w:val="00CD24E4"/>
    <w:rsid w:val="00CD2E8B"/>
    <w:rsid w:val="00CD5021"/>
    <w:rsid w:val="00CE0F48"/>
    <w:rsid w:val="00CE172D"/>
    <w:rsid w:val="00CE1766"/>
    <w:rsid w:val="00CF0D14"/>
    <w:rsid w:val="00CF4D24"/>
    <w:rsid w:val="00D04BF1"/>
    <w:rsid w:val="00D05BE2"/>
    <w:rsid w:val="00D13726"/>
    <w:rsid w:val="00D17734"/>
    <w:rsid w:val="00D23180"/>
    <w:rsid w:val="00D325F4"/>
    <w:rsid w:val="00D332DA"/>
    <w:rsid w:val="00D33D46"/>
    <w:rsid w:val="00D34C98"/>
    <w:rsid w:val="00D4161E"/>
    <w:rsid w:val="00D46317"/>
    <w:rsid w:val="00D52AEC"/>
    <w:rsid w:val="00D558A3"/>
    <w:rsid w:val="00D56E74"/>
    <w:rsid w:val="00D6450E"/>
    <w:rsid w:val="00D665B7"/>
    <w:rsid w:val="00D73C19"/>
    <w:rsid w:val="00D8456A"/>
    <w:rsid w:val="00D939C6"/>
    <w:rsid w:val="00DA36D3"/>
    <w:rsid w:val="00DA6241"/>
    <w:rsid w:val="00DA7D3A"/>
    <w:rsid w:val="00DB0AC4"/>
    <w:rsid w:val="00DB179F"/>
    <w:rsid w:val="00DB2759"/>
    <w:rsid w:val="00DB55C2"/>
    <w:rsid w:val="00DD041E"/>
    <w:rsid w:val="00DD0B74"/>
    <w:rsid w:val="00DD5ECA"/>
    <w:rsid w:val="00DE08ED"/>
    <w:rsid w:val="00DF0348"/>
    <w:rsid w:val="00DF1938"/>
    <w:rsid w:val="00DF2FCB"/>
    <w:rsid w:val="00DF6041"/>
    <w:rsid w:val="00E13D92"/>
    <w:rsid w:val="00E1438D"/>
    <w:rsid w:val="00E14408"/>
    <w:rsid w:val="00E16CCF"/>
    <w:rsid w:val="00E20CCF"/>
    <w:rsid w:val="00E2413E"/>
    <w:rsid w:val="00E33CB8"/>
    <w:rsid w:val="00E37A58"/>
    <w:rsid w:val="00E37E06"/>
    <w:rsid w:val="00E42CE8"/>
    <w:rsid w:val="00E46867"/>
    <w:rsid w:val="00E573F1"/>
    <w:rsid w:val="00E6737C"/>
    <w:rsid w:val="00E72E84"/>
    <w:rsid w:val="00E73B77"/>
    <w:rsid w:val="00E82027"/>
    <w:rsid w:val="00E86917"/>
    <w:rsid w:val="00E93526"/>
    <w:rsid w:val="00E973BF"/>
    <w:rsid w:val="00EA253A"/>
    <w:rsid w:val="00EA2762"/>
    <w:rsid w:val="00EB13A1"/>
    <w:rsid w:val="00EB3ABE"/>
    <w:rsid w:val="00EB4BE8"/>
    <w:rsid w:val="00EB6F1D"/>
    <w:rsid w:val="00EC6D65"/>
    <w:rsid w:val="00EC7DA4"/>
    <w:rsid w:val="00ED0CD2"/>
    <w:rsid w:val="00EE3166"/>
    <w:rsid w:val="00EE567F"/>
    <w:rsid w:val="00EF52DE"/>
    <w:rsid w:val="00EF5EC4"/>
    <w:rsid w:val="00F031E7"/>
    <w:rsid w:val="00F03850"/>
    <w:rsid w:val="00F03AA7"/>
    <w:rsid w:val="00F05EA4"/>
    <w:rsid w:val="00F208AA"/>
    <w:rsid w:val="00F2634E"/>
    <w:rsid w:val="00F41367"/>
    <w:rsid w:val="00F421B3"/>
    <w:rsid w:val="00F4223D"/>
    <w:rsid w:val="00F43D60"/>
    <w:rsid w:val="00F446F2"/>
    <w:rsid w:val="00F555F1"/>
    <w:rsid w:val="00F578B9"/>
    <w:rsid w:val="00F77C12"/>
    <w:rsid w:val="00F814A5"/>
    <w:rsid w:val="00F90D96"/>
    <w:rsid w:val="00F91716"/>
    <w:rsid w:val="00F93822"/>
    <w:rsid w:val="00FA362B"/>
    <w:rsid w:val="00FA53F9"/>
    <w:rsid w:val="00FA5866"/>
    <w:rsid w:val="00FA6D44"/>
    <w:rsid w:val="00FC1C78"/>
    <w:rsid w:val="00FC2795"/>
    <w:rsid w:val="00FC58EC"/>
    <w:rsid w:val="00FD3D9D"/>
    <w:rsid w:val="00FD485D"/>
    <w:rsid w:val="00FD6E40"/>
    <w:rsid w:val="00FD76B7"/>
    <w:rsid w:val="00FF5E23"/>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AD417E-C8BE-4FEF-9075-D9FCC679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T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ABE"/>
  </w:style>
  <w:style w:type="paragraph" w:styleId="Heading1">
    <w:name w:val="heading 1"/>
    <w:basedOn w:val="Normal"/>
    <w:next w:val="Normal"/>
    <w:link w:val="Heading1Char"/>
    <w:uiPriority w:val="9"/>
    <w:qFormat/>
    <w:rsid w:val="00EB3A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3A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3AB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B3A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A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3A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B3AB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B3ABE"/>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unhideWhenUsed/>
    <w:qFormat/>
    <w:rsid w:val="00EB3ABE"/>
    <w:pPr>
      <w:outlineLvl w:val="9"/>
    </w:pPr>
    <w:rPr>
      <w:lang w:val="en-US" w:eastAsia="ja-JP"/>
    </w:rPr>
  </w:style>
  <w:style w:type="paragraph" w:styleId="BalloonText">
    <w:name w:val="Balloon Text"/>
    <w:basedOn w:val="Normal"/>
    <w:link w:val="BalloonTextChar"/>
    <w:uiPriority w:val="99"/>
    <w:semiHidden/>
    <w:unhideWhenUsed/>
    <w:rsid w:val="00EB3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ABE"/>
    <w:rPr>
      <w:rFonts w:ascii="Tahoma" w:hAnsi="Tahoma" w:cs="Tahoma"/>
      <w:sz w:val="16"/>
      <w:szCs w:val="16"/>
    </w:rPr>
  </w:style>
  <w:style w:type="paragraph" w:styleId="TOC1">
    <w:name w:val="toc 1"/>
    <w:basedOn w:val="Normal"/>
    <w:next w:val="Normal"/>
    <w:autoRedefine/>
    <w:uiPriority w:val="39"/>
    <w:unhideWhenUsed/>
    <w:qFormat/>
    <w:rsid w:val="00017238"/>
    <w:pPr>
      <w:tabs>
        <w:tab w:val="left" w:pos="440"/>
        <w:tab w:val="right" w:leader="dot" w:pos="9350"/>
      </w:tabs>
      <w:spacing w:after="100" w:line="480" w:lineRule="auto"/>
      <w:ind w:left="426" w:hanging="284"/>
      <w:jc w:val="both"/>
    </w:pPr>
    <w:rPr>
      <w:b/>
      <w:noProof/>
    </w:rPr>
  </w:style>
  <w:style w:type="paragraph" w:styleId="TOC2">
    <w:name w:val="toc 2"/>
    <w:basedOn w:val="Normal"/>
    <w:next w:val="Normal"/>
    <w:autoRedefine/>
    <w:uiPriority w:val="39"/>
    <w:unhideWhenUsed/>
    <w:qFormat/>
    <w:rsid w:val="00894351"/>
    <w:pPr>
      <w:tabs>
        <w:tab w:val="left" w:pos="1100"/>
        <w:tab w:val="right" w:leader="dot" w:pos="9350"/>
      </w:tabs>
      <w:spacing w:after="100" w:line="480" w:lineRule="auto"/>
      <w:ind w:left="440"/>
      <w:jc w:val="both"/>
    </w:pPr>
    <w:rPr>
      <w:rFonts w:eastAsia="Times New Roman"/>
      <w:b/>
      <w:i/>
      <w:noProof/>
      <w:lang w:eastAsia="en-TT"/>
    </w:rPr>
  </w:style>
  <w:style w:type="paragraph" w:styleId="TOC3">
    <w:name w:val="toc 3"/>
    <w:basedOn w:val="Normal"/>
    <w:next w:val="Normal"/>
    <w:autoRedefine/>
    <w:uiPriority w:val="39"/>
    <w:unhideWhenUsed/>
    <w:qFormat/>
    <w:rsid w:val="002838B7"/>
    <w:pPr>
      <w:tabs>
        <w:tab w:val="right" w:leader="dot" w:pos="9350"/>
      </w:tabs>
      <w:spacing w:after="100"/>
      <w:ind w:left="440"/>
    </w:pPr>
    <w:rPr>
      <w:bCs/>
      <w:i/>
      <w:noProof/>
      <w:color w:val="000000"/>
    </w:rPr>
  </w:style>
  <w:style w:type="character" w:styleId="Hyperlink">
    <w:name w:val="Hyperlink"/>
    <w:basedOn w:val="DefaultParagraphFont"/>
    <w:uiPriority w:val="99"/>
    <w:unhideWhenUsed/>
    <w:rsid w:val="00EB3ABE"/>
    <w:rPr>
      <w:color w:val="0000FF" w:themeColor="hyperlink"/>
      <w:u w:val="single"/>
    </w:rPr>
  </w:style>
  <w:style w:type="paragraph" w:styleId="ListParagraph">
    <w:name w:val="List Paragraph"/>
    <w:basedOn w:val="Normal"/>
    <w:uiPriority w:val="34"/>
    <w:qFormat/>
    <w:rsid w:val="00EB3ABE"/>
    <w:pPr>
      <w:ind w:left="720"/>
      <w:contextualSpacing/>
    </w:pPr>
  </w:style>
  <w:style w:type="paragraph" w:styleId="NoSpacing">
    <w:name w:val="No Spacing"/>
    <w:link w:val="NoSpacingChar"/>
    <w:uiPriority w:val="1"/>
    <w:qFormat/>
    <w:rsid w:val="00EB3ABE"/>
    <w:pPr>
      <w:spacing w:after="0" w:line="240" w:lineRule="auto"/>
    </w:pPr>
  </w:style>
  <w:style w:type="paragraph" w:styleId="NormalWeb">
    <w:name w:val="Normal (Web)"/>
    <w:basedOn w:val="Normal"/>
    <w:uiPriority w:val="99"/>
    <w:unhideWhenUsed/>
    <w:rsid w:val="00EB3ABE"/>
    <w:pPr>
      <w:spacing w:before="100" w:beforeAutospacing="1" w:after="100" w:afterAutospacing="1" w:line="240" w:lineRule="auto"/>
    </w:pPr>
    <w:rPr>
      <w:rFonts w:eastAsia="Times New Roman"/>
      <w:lang w:eastAsia="en-TT"/>
    </w:rPr>
  </w:style>
  <w:style w:type="paragraph" w:styleId="Header">
    <w:name w:val="header"/>
    <w:basedOn w:val="Normal"/>
    <w:link w:val="HeaderChar"/>
    <w:uiPriority w:val="99"/>
    <w:unhideWhenUsed/>
    <w:rsid w:val="00EB3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ABE"/>
  </w:style>
  <w:style w:type="paragraph" w:styleId="Footer">
    <w:name w:val="footer"/>
    <w:basedOn w:val="Normal"/>
    <w:link w:val="FooterChar"/>
    <w:uiPriority w:val="99"/>
    <w:unhideWhenUsed/>
    <w:rsid w:val="00EB3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ABE"/>
  </w:style>
  <w:style w:type="character" w:customStyle="1" w:styleId="NoSpacingChar">
    <w:name w:val="No Spacing Char"/>
    <w:basedOn w:val="DefaultParagraphFont"/>
    <w:link w:val="NoSpacing"/>
    <w:uiPriority w:val="1"/>
    <w:rsid w:val="00EB3ABE"/>
  </w:style>
  <w:style w:type="character" w:customStyle="1" w:styleId="apple-tab-span">
    <w:name w:val="apple-tab-span"/>
    <w:basedOn w:val="DefaultParagraphFont"/>
    <w:rsid w:val="00EB3ABE"/>
  </w:style>
  <w:style w:type="character" w:styleId="FollowedHyperlink">
    <w:name w:val="FollowedHyperlink"/>
    <w:basedOn w:val="DefaultParagraphFont"/>
    <w:uiPriority w:val="99"/>
    <w:semiHidden/>
    <w:unhideWhenUsed/>
    <w:rsid w:val="00EB3ABE"/>
    <w:rPr>
      <w:color w:val="800080" w:themeColor="followedHyperlink"/>
      <w:u w:val="single"/>
    </w:rPr>
  </w:style>
  <w:style w:type="paragraph" w:styleId="FootnoteText">
    <w:name w:val="footnote text"/>
    <w:basedOn w:val="Normal"/>
    <w:link w:val="FootnoteTextChar"/>
    <w:uiPriority w:val="99"/>
    <w:unhideWhenUsed/>
    <w:rsid w:val="00EB3ABE"/>
    <w:pPr>
      <w:spacing w:after="0" w:line="240" w:lineRule="auto"/>
    </w:pPr>
    <w:rPr>
      <w:sz w:val="20"/>
      <w:szCs w:val="20"/>
    </w:rPr>
  </w:style>
  <w:style w:type="character" w:customStyle="1" w:styleId="FootnoteTextChar">
    <w:name w:val="Footnote Text Char"/>
    <w:basedOn w:val="DefaultParagraphFont"/>
    <w:link w:val="FootnoteText"/>
    <w:uiPriority w:val="99"/>
    <w:rsid w:val="00EB3ABE"/>
    <w:rPr>
      <w:sz w:val="20"/>
      <w:szCs w:val="20"/>
    </w:rPr>
  </w:style>
  <w:style w:type="character" w:styleId="FootnoteReference">
    <w:name w:val="footnote reference"/>
    <w:basedOn w:val="DefaultParagraphFont"/>
    <w:uiPriority w:val="99"/>
    <w:semiHidden/>
    <w:unhideWhenUsed/>
    <w:rsid w:val="00EB3ABE"/>
    <w:rPr>
      <w:vertAlign w:val="superscript"/>
    </w:rPr>
  </w:style>
  <w:style w:type="character" w:styleId="Emphasis">
    <w:name w:val="Emphasis"/>
    <w:basedOn w:val="DefaultParagraphFont"/>
    <w:uiPriority w:val="20"/>
    <w:qFormat/>
    <w:rsid w:val="00EB3ABE"/>
    <w:rPr>
      <w:i/>
      <w:iCs/>
    </w:rPr>
  </w:style>
  <w:style w:type="character" w:customStyle="1" w:styleId="apple-converted-space">
    <w:name w:val="apple-converted-space"/>
    <w:basedOn w:val="DefaultParagraphFont"/>
    <w:rsid w:val="00EB3ABE"/>
  </w:style>
  <w:style w:type="character" w:styleId="Strong">
    <w:name w:val="Strong"/>
    <w:basedOn w:val="DefaultParagraphFont"/>
    <w:uiPriority w:val="22"/>
    <w:qFormat/>
    <w:rsid w:val="00EB3ABE"/>
    <w:rPr>
      <w:b/>
      <w:bCs/>
    </w:rPr>
  </w:style>
  <w:style w:type="character" w:customStyle="1" w:styleId="itemtitle">
    <w:name w:val="itemtitle"/>
    <w:basedOn w:val="DefaultParagraphFont"/>
    <w:rsid w:val="00EB3ABE"/>
  </w:style>
  <w:style w:type="character" w:customStyle="1" w:styleId="highlight">
    <w:name w:val="highlight"/>
    <w:basedOn w:val="DefaultParagraphFont"/>
    <w:rsid w:val="00626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5571">
      <w:bodyDiv w:val="1"/>
      <w:marLeft w:val="0"/>
      <w:marRight w:val="0"/>
      <w:marTop w:val="0"/>
      <w:marBottom w:val="0"/>
      <w:divBdr>
        <w:top w:val="none" w:sz="0" w:space="0" w:color="auto"/>
        <w:left w:val="none" w:sz="0" w:space="0" w:color="auto"/>
        <w:bottom w:val="none" w:sz="0" w:space="0" w:color="auto"/>
        <w:right w:val="none" w:sz="0" w:space="0" w:color="auto"/>
      </w:divBdr>
      <w:divsChild>
        <w:div w:id="325474778">
          <w:marLeft w:val="0"/>
          <w:marRight w:val="0"/>
          <w:marTop w:val="0"/>
          <w:marBottom w:val="0"/>
          <w:divBdr>
            <w:top w:val="none" w:sz="0" w:space="0" w:color="auto"/>
            <w:left w:val="none" w:sz="0" w:space="0" w:color="auto"/>
            <w:bottom w:val="none" w:sz="0" w:space="0" w:color="auto"/>
            <w:right w:val="none" w:sz="0" w:space="0" w:color="auto"/>
          </w:divBdr>
          <w:divsChild>
            <w:div w:id="1670713169">
              <w:marLeft w:val="0"/>
              <w:marRight w:val="0"/>
              <w:marTop w:val="0"/>
              <w:marBottom w:val="0"/>
              <w:divBdr>
                <w:top w:val="none" w:sz="0" w:space="0" w:color="auto"/>
                <w:left w:val="none" w:sz="0" w:space="0" w:color="auto"/>
                <w:bottom w:val="none" w:sz="0" w:space="0" w:color="auto"/>
                <w:right w:val="none" w:sz="0" w:space="0" w:color="auto"/>
              </w:divBdr>
              <w:divsChild>
                <w:div w:id="1467703699">
                  <w:marLeft w:val="0"/>
                  <w:marRight w:val="0"/>
                  <w:marTop w:val="0"/>
                  <w:marBottom w:val="0"/>
                  <w:divBdr>
                    <w:top w:val="none" w:sz="0" w:space="0" w:color="auto"/>
                    <w:left w:val="none" w:sz="0" w:space="0" w:color="auto"/>
                    <w:bottom w:val="none" w:sz="0" w:space="0" w:color="auto"/>
                    <w:right w:val="none" w:sz="0" w:space="0" w:color="auto"/>
                  </w:divBdr>
                </w:div>
                <w:div w:id="1584678384">
                  <w:marLeft w:val="0"/>
                  <w:marRight w:val="0"/>
                  <w:marTop w:val="0"/>
                  <w:marBottom w:val="0"/>
                  <w:divBdr>
                    <w:top w:val="none" w:sz="0" w:space="0" w:color="auto"/>
                    <w:left w:val="none" w:sz="0" w:space="0" w:color="auto"/>
                    <w:bottom w:val="none" w:sz="0" w:space="0" w:color="auto"/>
                    <w:right w:val="none" w:sz="0" w:space="0" w:color="auto"/>
                  </w:divBdr>
                </w:div>
                <w:div w:id="368802321">
                  <w:marLeft w:val="0"/>
                  <w:marRight w:val="0"/>
                  <w:marTop w:val="0"/>
                  <w:marBottom w:val="0"/>
                  <w:divBdr>
                    <w:top w:val="none" w:sz="0" w:space="0" w:color="auto"/>
                    <w:left w:val="none" w:sz="0" w:space="0" w:color="auto"/>
                    <w:bottom w:val="none" w:sz="0" w:space="0" w:color="auto"/>
                    <w:right w:val="none" w:sz="0" w:space="0" w:color="auto"/>
                  </w:divBdr>
                </w:div>
                <w:div w:id="313531410">
                  <w:marLeft w:val="0"/>
                  <w:marRight w:val="0"/>
                  <w:marTop w:val="0"/>
                  <w:marBottom w:val="0"/>
                  <w:divBdr>
                    <w:top w:val="none" w:sz="0" w:space="0" w:color="auto"/>
                    <w:left w:val="none" w:sz="0" w:space="0" w:color="auto"/>
                    <w:bottom w:val="none" w:sz="0" w:space="0" w:color="auto"/>
                    <w:right w:val="none" w:sz="0" w:space="0" w:color="auto"/>
                  </w:divBdr>
                </w:div>
                <w:div w:id="1902910784">
                  <w:marLeft w:val="0"/>
                  <w:marRight w:val="0"/>
                  <w:marTop w:val="0"/>
                  <w:marBottom w:val="0"/>
                  <w:divBdr>
                    <w:top w:val="none" w:sz="0" w:space="0" w:color="auto"/>
                    <w:left w:val="none" w:sz="0" w:space="0" w:color="auto"/>
                    <w:bottom w:val="none" w:sz="0" w:space="0" w:color="auto"/>
                    <w:right w:val="none" w:sz="0" w:space="0" w:color="auto"/>
                  </w:divBdr>
                </w:div>
                <w:div w:id="928122322">
                  <w:marLeft w:val="0"/>
                  <w:marRight w:val="0"/>
                  <w:marTop w:val="0"/>
                  <w:marBottom w:val="0"/>
                  <w:divBdr>
                    <w:top w:val="none" w:sz="0" w:space="0" w:color="auto"/>
                    <w:left w:val="none" w:sz="0" w:space="0" w:color="auto"/>
                    <w:bottom w:val="none" w:sz="0" w:space="0" w:color="auto"/>
                    <w:right w:val="none" w:sz="0" w:space="0" w:color="auto"/>
                  </w:divBdr>
                </w:div>
                <w:div w:id="1486044555">
                  <w:marLeft w:val="0"/>
                  <w:marRight w:val="0"/>
                  <w:marTop w:val="0"/>
                  <w:marBottom w:val="0"/>
                  <w:divBdr>
                    <w:top w:val="none" w:sz="0" w:space="0" w:color="auto"/>
                    <w:left w:val="none" w:sz="0" w:space="0" w:color="auto"/>
                    <w:bottom w:val="none" w:sz="0" w:space="0" w:color="auto"/>
                    <w:right w:val="none" w:sz="0" w:space="0" w:color="auto"/>
                  </w:divBdr>
                </w:div>
                <w:div w:id="78523509">
                  <w:marLeft w:val="0"/>
                  <w:marRight w:val="0"/>
                  <w:marTop w:val="0"/>
                  <w:marBottom w:val="0"/>
                  <w:divBdr>
                    <w:top w:val="none" w:sz="0" w:space="0" w:color="auto"/>
                    <w:left w:val="none" w:sz="0" w:space="0" w:color="auto"/>
                    <w:bottom w:val="none" w:sz="0" w:space="0" w:color="auto"/>
                    <w:right w:val="none" w:sz="0" w:space="0" w:color="auto"/>
                  </w:divBdr>
                </w:div>
                <w:div w:id="572084707">
                  <w:marLeft w:val="0"/>
                  <w:marRight w:val="0"/>
                  <w:marTop w:val="0"/>
                  <w:marBottom w:val="0"/>
                  <w:divBdr>
                    <w:top w:val="none" w:sz="0" w:space="0" w:color="auto"/>
                    <w:left w:val="none" w:sz="0" w:space="0" w:color="auto"/>
                    <w:bottom w:val="none" w:sz="0" w:space="0" w:color="auto"/>
                    <w:right w:val="none" w:sz="0" w:space="0" w:color="auto"/>
                  </w:divBdr>
                </w:div>
                <w:div w:id="146440055">
                  <w:marLeft w:val="0"/>
                  <w:marRight w:val="0"/>
                  <w:marTop w:val="0"/>
                  <w:marBottom w:val="0"/>
                  <w:divBdr>
                    <w:top w:val="none" w:sz="0" w:space="0" w:color="auto"/>
                    <w:left w:val="none" w:sz="0" w:space="0" w:color="auto"/>
                    <w:bottom w:val="none" w:sz="0" w:space="0" w:color="auto"/>
                    <w:right w:val="none" w:sz="0" w:space="0" w:color="auto"/>
                  </w:divBdr>
                </w:div>
                <w:div w:id="664937184">
                  <w:marLeft w:val="0"/>
                  <w:marRight w:val="0"/>
                  <w:marTop w:val="0"/>
                  <w:marBottom w:val="0"/>
                  <w:divBdr>
                    <w:top w:val="none" w:sz="0" w:space="0" w:color="auto"/>
                    <w:left w:val="none" w:sz="0" w:space="0" w:color="auto"/>
                    <w:bottom w:val="none" w:sz="0" w:space="0" w:color="auto"/>
                    <w:right w:val="none" w:sz="0" w:space="0" w:color="auto"/>
                  </w:divBdr>
                </w:div>
                <w:div w:id="68576364">
                  <w:marLeft w:val="0"/>
                  <w:marRight w:val="0"/>
                  <w:marTop w:val="0"/>
                  <w:marBottom w:val="0"/>
                  <w:divBdr>
                    <w:top w:val="none" w:sz="0" w:space="0" w:color="auto"/>
                    <w:left w:val="none" w:sz="0" w:space="0" w:color="auto"/>
                    <w:bottom w:val="none" w:sz="0" w:space="0" w:color="auto"/>
                    <w:right w:val="none" w:sz="0" w:space="0" w:color="auto"/>
                  </w:divBdr>
                </w:div>
                <w:div w:id="467627094">
                  <w:marLeft w:val="0"/>
                  <w:marRight w:val="0"/>
                  <w:marTop w:val="0"/>
                  <w:marBottom w:val="0"/>
                  <w:divBdr>
                    <w:top w:val="none" w:sz="0" w:space="0" w:color="auto"/>
                    <w:left w:val="none" w:sz="0" w:space="0" w:color="auto"/>
                    <w:bottom w:val="none" w:sz="0" w:space="0" w:color="auto"/>
                    <w:right w:val="none" w:sz="0" w:space="0" w:color="auto"/>
                  </w:divBdr>
                </w:div>
                <w:div w:id="885220172">
                  <w:marLeft w:val="0"/>
                  <w:marRight w:val="0"/>
                  <w:marTop w:val="0"/>
                  <w:marBottom w:val="0"/>
                  <w:divBdr>
                    <w:top w:val="none" w:sz="0" w:space="0" w:color="auto"/>
                    <w:left w:val="none" w:sz="0" w:space="0" w:color="auto"/>
                    <w:bottom w:val="none" w:sz="0" w:space="0" w:color="auto"/>
                    <w:right w:val="none" w:sz="0" w:space="0" w:color="auto"/>
                  </w:divBdr>
                </w:div>
                <w:div w:id="2002468162">
                  <w:marLeft w:val="0"/>
                  <w:marRight w:val="0"/>
                  <w:marTop w:val="0"/>
                  <w:marBottom w:val="0"/>
                  <w:divBdr>
                    <w:top w:val="none" w:sz="0" w:space="0" w:color="auto"/>
                    <w:left w:val="none" w:sz="0" w:space="0" w:color="auto"/>
                    <w:bottom w:val="none" w:sz="0" w:space="0" w:color="auto"/>
                    <w:right w:val="none" w:sz="0" w:space="0" w:color="auto"/>
                  </w:divBdr>
                </w:div>
                <w:div w:id="407580969">
                  <w:marLeft w:val="0"/>
                  <w:marRight w:val="0"/>
                  <w:marTop w:val="0"/>
                  <w:marBottom w:val="0"/>
                  <w:divBdr>
                    <w:top w:val="none" w:sz="0" w:space="0" w:color="auto"/>
                    <w:left w:val="none" w:sz="0" w:space="0" w:color="auto"/>
                    <w:bottom w:val="none" w:sz="0" w:space="0" w:color="auto"/>
                    <w:right w:val="none" w:sz="0" w:space="0" w:color="auto"/>
                  </w:divBdr>
                </w:div>
                <w:div w:id="341667751">
                  <w:marLeft w:val="0"/>
                  <w:marRight w:val="0"/>
                  <w:marTop w:val="0"/>
                  <w:marBottom w:val="0"/>
                  <w:divBdr>
                    <w:top w:val="none" w:sz="0" w:space="0" w:color="auto"/>
                    <w:left w:val="none" w:sz="0" w:space="0" w:color="auto"/>
                    <w:bottom w:val="none" w:sz="0" w:space="0" w:color="auto"/>
                    <w:right w:val="none" w:sz="0" w:space="0" w:color="auto"/>
                  </w:divBdr>
                </w:div>
                <w:div w:id="1939679829">
                  <w:marLeft w:val="0"/>
                  <w:marRight w:val="0"/>
                  <w:marTop w:val="0"/>
                  <w:marBottom w:val="0"/>
                  <w:divBdr>
                    <w:top w:val="none" w:sz="0" w:space="0" w:color="auto"/>
                    <w:left w:val="none" w:sz="0" w:space="0" w:color="auto"/>
                    <w:bottom w:val="none" w:sz="0" w:space="0" w:color="auto"/>
                    <w:right w:val="none" w:sz="0" w:space="0" w:color="auto"/>
                  </w:divBdr>
                </w:div>
                <w:div w:id="38894925">
                  <w:marLeft w:val="0"/>
                  <w:marRight w:val="0"/>
                  <w:marTop w:val="0"/>
                  <w:marBottom w:val="0"/>
                  <w:divBdr>
                    <w:top w:val="none" w:sz="0" w:space="0" w:color="auto"/>
                    <w:left w:val="none" w:sz="0" w:space="0" w:color="auto"/>
                    <w:bottom w:val="none" w:sz="0" w:space="0" w:color="auto"/>
                    <w:right w:val="none" w:sz="0" w:space="0" w:color="auto"/>
                  </w:divBdr>
                </w:div>
                <w:div w:id="420295076">
                  <w:marLeft w:val="0"/>
                  <w:marRight w:val="0"/>
                  <w:marTop w:val="0"/>
                  <w:marBottom w:val="0"/>
                  <w:divBdr>
                    <w:top w:val="none" w:sz="0" w:space="0" w:color="auto"/>
                    <w:left w:val="none" w:sz="0" w:space="0" w:color="auto"/>
                    <w:bottom w:val="none" w:sz="0" w:space="0" w:color="auto"/>
                    <w:right w:val="none" w:sz="0" w:space="0" w:color="auto"/>
                  </w:divBdr>
                </w:div>
                <w:div w:id="1783917880">
                  <w:marLeft w:val="0"/>
                  <w:marRight w:val="0"/>
                  <w:marTop w:val="0"/>
                  <w:marBottom w:val="0"/>
                  <w:divBdr>
                    <w:top w:val="none" w:sz="0" w:space="0" w:color="auto"/>
                    <w:left w:val="none" w:sz="0" w:space="0" w:color="auto"/>
                    <w:bottom w:val="none" w:sz="0" w:space="0" w:color="auto"/>
                    <w:right w:val="none" w:sz="0" w:space="0" w:color="auto"/>
                  </w:divBdr>
                </w:div>
                <w:div w:id="619846789">
                  <w:marLeft w:val="0"/>
                  <w:marRight w:val="0"/>
                  <w:marTop w:val="0"/>
                  <w:marBottom w:val="0"/>
                  <w:divBdr>
                    <w:top w:val="none" w:sz="0" w:space="0" w:color="auto"/>
                    <w:left w:val="none" w:sz="0" w:space="0" w:color="auto"/>
                    <w:bottom w:val="none" w:sz="0" w:space="0" w:color="auto"/>
                    <w:right w:val="none" w:sz="0" w:space="0" w:color="auto"/>
                  </w:divBdr>
                </w:div>
                <w:div w:id="731463965">
                  <w:marLeft w:val="0"/>
                  <w:marRight w:val="0"/>
                  <w:marTop w:val="0"/>
                  <w:marBottom w:val="0"/>
                  <w:divBdr>
                    <w:top w:val="none" w:sz="0" w:space="0" w:color="auto"/>
                    <w:left w:val="none" w:sz="0" w:space="0" w:color="auto"/>
                    <w:bottom w:val="none" w:sz="0" w:space="0" w:color="auto"/>
                    <w:right w:val="none" w:sz="0" w:space="0" w:color="auto"/>
                  </w:divBdr>
                </w:div>
                <w:div w:id="2139832587">
                  <w:marLeft w:val="0"/>
                  <w:marRight w:val="0"/>
                  <w:marTop w:val="0"/>
                  <w:marBottom w:val="0"/>
                  <w:divBdr>
                    <w:top w:val="none" w:sz="0" w:space="0" w:color="auto"/>
                    <w:left w:val="none" w:sz="0" w:space="0" w:color="auto"/>
                    <w:bottom w:val="none" w:sz="0" w:space="0" w:color="auto"/>
                    <w:right w:val="none" w:sz="0" w:space="0" w:color="auto"/>
                  </w:divBdr>
                </w:div>
                <w:div w:id="1683045143">
                  <w:marLeft w:val="0"/>
                  <w:marRight w:val="0"/>
                  <w:marTop w:val="0"/>
                  <w:marBottom w:val="0"/>
                  <w:divBdr>
                    <w:top w:val="none" w:sz="0" w:space="0" w:color="auto"/>
                    <w:left w:val="none" w:sz="0" w:space="0" w:color="auto"/>
                    <w:bottom w:val="none" w:sz="0" w:space="0" w:color="auto"/>
                    <w:right w:val="none" w:sz="0" w:space="0" w:color="auto"/>
                  </w:divBdr>
                </w:div>
                <w:div w:id="141235825">
                  <w:marLeft w:val="0"/>
                  <w:marRight w:val="0"/>
                  <w:marTop w:val="0"/>
                  <w:marBottom w:val="0"/>
                  <w:divBdr>
                    <w:top w:val="none" w:sz="0" w:space="0" w:color="auto"/>
                    <w:left w:val="none" w:sz="0" w:space="0" w:color="auto"/>
                    <w:bottom w:val="none" w:sz="0" w:space="0" w:color="auto"/>
                    <w:right w:val="none" w:sz="0" w:space="0" w:color="auto"/>
                  </w:divBdr>
                </w:div>
                <w:div w:id="1771118931">
                  <w:marLeft w:val="0"/>
                  <w:marRight w:val="0"/>
                  <w:marTop w:val="0"/>
                  <w:marBottom w:val="0"/>
                  <w:divBdr>
                    <w:top w:val="none" w:sz="0" w:space="0" w:color="auto"/>
                    <w:left w:val="none" w:sz="0" w:space="0" w:color="auto"/>
                    <w:bottom w:val="none" w:sz="0" w:space="0" w:color="auto"/>
                    <w:right w:val="none" w:sz="0" w:space="0" w:color="auto"/>
                  </w:divBdr>
                </w:div>
                <w:div w:id="286740140">
                  <w:marLeft w:val="0"/>
                  <w:marRight w:val="0"/>
                  <w:marTop w:val="0"/>
                  <w:marBottom w:val="0"/>
                  <w:divBdr>
                    <w:top w:val="none" w:sz="0" w:space="0" w:color="auto"/>
                    <w:left w:val="none" w:sz="0" w:space="0" w:color="auto"/>
                    <w:bottom w:val="none" w:sz="0" w:space="0" w:color="auto"/>
                    <w:right w:val="none" w:sz="0" w:space="0" w:color="auto"/>
                  </w:divBdr>
                </w:div>
                <w:div w:id="971442069">
                  <w:marLeft w:val="0"/>
                  <w:marRight w:val="0"/>
                  <w:marTop w:val="0"/>
                  <w:marBottom w:val="0"/>
                  <w:divBdr>
                    <w:top w:val="none" w:sz="0" w:space="0" w:color="auto"/>
                    <w:left w:val="none" w:sz="0" w:space="0" w:color="auto"/>
                    <w:bottom w:val="none" w:sz="0" w:space="0" w:color="auto"/>
                    <w:right w:val="none" w:sz="0" w:space="0" w:color="auto"/>
                  </w:divBdr>
                </w:div>
                <w:div w:id="15718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68735">
          <w:marLeft w:val="0"/>
          <w:marRight w:val="0"/>
          <w:marTop w:val="0"/>
          <w:marBottom w:val="0"/>
          <w:divBdr>
            <w:top w:val="none" w:sz="0" w:space="0" w:color="auto"/>
            <w:left w:val="none" w:sz="0" w:space="0" w:color="auto"/>
            <w:bottom w:val="none" w:sz="0" w:space="0" w:color="auto"/>
            <w:right w:val="none" w:sz="0" w:space="0" w:color="auto"/>
          </w:divBdr>
        </w:div>
        <w:div w:id="657806671">
          <w:marLeft w:val="0"/>
          <w:marRight w:val="0"/>
          <w:marTop w:val="0"/>
          <w:marBottom w:val="0"/>
          <w:divBdr>
            <w:top w:val="none" w:sz="0" w:space="0" w:color="auto"/>
            <w:left w:val="none" w:sz="0" w:space="0" w:color="auto"/>
            <w:bottom w:val="none" w:sz="0" w:space="0" w:color="auto"/>
            <w:right w:val="none" w:sz="0" w:space="0" w:color="auto"/>
          </w:divBdr>
        </w:div>
        <w:div w:id="1406030728">
          <w:marLeft w:val="0"/>
          <w:marRight w:val="0"/>
          <w:marTop w:val="0"/>
          <w:marBottom w:val="0"/>
          <w:divBdr>
            <w:top w:val="none" w:sz="0" w:space="0" w:color="auto"/>
            <w:left w:val="none" w:sz="0" w:space="0" w:color="auto"/>
            <w:bottom w:val="none" w:sz="0" w:space="0" w:color="auto"/>
            <w:right w:val="none" w:sz="0" w:space="0" w:color="auto"/>
          </w:divBdr>
        </w:div>
        <w:div w:id="958801805">
          <w:marLeft w:val="0"/>
          <w:marRight w:val="0"/>
          <w:marTop w:val="0"/>
          <w:marBottom w:val="0"/>
          <w:divBdr>
            <w:top w:val="none" w:sz="0" w:space="0" w:color="auto"/>
            <w:left w:val="none" w:sz="0" w:space="0" w:color="auto"/>
            <w:bottom w:val="none" w:sz="0" w:space="0" w:color="auto"/>
            <w:right w:val="none" w:sz="0" w:space="0" w:color="auto"/>
          </w:divBdr>
        </w:div>
        <w:div w:id="1388263054">
          <w:marLeft w:val="0"/>
          <w:marRight w:val="0"/>
          <w:marTop w:val="0"/>
          <w:marBottom w:val="0"/>
          <w:divBdr>
            <w:top w:val="none" w:sz="0" w:space="0" w:color="auto"/>
            <w:left w:val="none" w:sz="0" w:space="0" w:color="auto"/>
            <w:bottom w:val="none" w:sz="0" w:space="0" w:color="auto"/>
            <w:right w:val="none" w:sz="0" w:space="0" w:color="auto"/>
          </w:divBdr>
        </w:div>
        <w:div w:id="148055430">
          <w:marLeft w:val="0"/>
          <w:marRight w:val="0"/>
          <w:marTop w:val="0"/>
          <w:marBottom w:val="0"/>
          <w:divBdr>
            <w:top w:val="none" w:sz="0" w:space="0" w:color="auto"/>
            <w:left w:val="none" w:sz="0" w:space="0" w:color="auto"/>
            <w:bottom w:val="none" w:sz="0" w:space="0" w:color="auto"/>
            <w:right w:val="none" w:sz="0" w:space="0" w:color="auto"/>
          </w:divBdr>
        </w:div>
        <w:div w:id="713047156">
          <w:marLeft w:val="0"/>
          <w:marRight w:val="0"/>
          <w:marTop w:val="0"/>
          <w:marBottom w:val="0"/>
          <w:divBdr>
            <w:top w:val="none" w:sz="0" w:space="0" w:color="auto"/>
            <w:left w:val="none" w:sz="0" w:space="0" w:color="auto"/>
            <w:bottom w:val="none" w:sz="0" w:space="0" w:color="auto"/>
            <w:right w:val="none" w:sz="0" w:space="0" w:color="auto"/>
          </w:divBdr>
        </w:div>
        <w:div w:id="1194728948">
          <w:marLeft w:val="0"/>
          <w:marRight w:val="0"/>
          <w:marTop w:val="0"/>
          <w:marBottom w:val="0"/>
          <w:divBdr>
            <w:top w:val="none" w:sz="0" w:space="0" w:color="auto"/>
            <w:left w:val="none" w:sz="0" w:space="0" w:color="auto"/>
            <w:bottom w:val="none" w:sz="0" w:space="0" w:color="auto"/>
            <w:right w:val="none" w:sz="0" w:space="0" w:color="auto"/>
          </w:divBdr>
        </w:div>
        <w:div w:id="394931145">
          <w:marLeft w:val="0"/>
          <w:marRight w:val="0"/>
          <w:marTop w:val="0"/>
          <w:marBottom w:val="0"/>
          <w:divBdr>
            <w:top w:val="none" w:sz="0" w:space="0" w:color="auto"/>
            <w:left w:val="none" w:sz="0" w:space="0" w:color="auto"/>
            <w:bottom w:val="none" w:sz="0" w:space="0" w:color="auto"/>
            <w:right w:val="none" w:sz="0" w:space="0" w:color="auto"/>
          </w:divBdr>
        </w:div>
        <w:div w:id="1574044214">
          <w:marLeft w:val="0"/>
          <w:marRight w:val="0"/>
          <w:marTop w:val="0"/>
          <w:marBottom w:val="0"/>
          <w:divBdr>
            <w:top w:val="none" w:sz="0" w:space="0" w:color="auto"/>
            <w:left w:val="none" w:sz="0" w:space="0" w:color="auto"/>
            <w:bottom w:val="none" w:sz="0" w:space="0" w:color="auto"/>
            <w:right w:val="none" w:sz="0" w:space="0" w:color="auto"/>
          </w:divBdr>
        </w:div>
        <w:div w:id="1564869691">
          <w:marLeft w:val="0"/>
          <w:marRight w:val="0"/>
          <w:marTop w:val="0"/>
          <w:marBottom w:val="0"/>
          <w:divBdr>
            <w:top w:val="none" w:sz="0" w:space="0" w:color="auto"/>
            <w:left w:val="none" w:sz="0" w:space="0" w:color="auto"/>
            <w:bottom w:val="none" w:sz="0" w:space="0" w:color="auto"/>
            <w:right w:val="none" w:sz="0" w:space="0" w:color="auto"/>
          </w:divBdr>
        </w:div>
        <w:div w:id="1363478647">
          <w:marLeft w:val="0"/>
          <w:marRight w:val="0"/>
          <w:marTop w:val="0"/>
          <w:marBottom w:val="0"/>
          <w:divBdr>
            <w:top w:val="none" w:sz="0" w:space="0" w:color="auto"/>
            <w:left w:val="none" w:sz="0" w:space="0" w:color="auto"/>
            <w:bottom w:val="none" w:sz="0" w:space="0" w:color="auto"/>
            <w:right w:val="none" w:sz="0" w:space="0" w:color="auto"/>
          </w:divBdr>
        </w:div>
        <w:div w:id="1003703910">
          <w:marLeft w:val="0"/>
          <w:marRight w:val="0"/>
          <w:marTop w:val="0"/>
          <w:marBottom w:val="0"/>
          <w:divBdr>
            <w:top w:val="none" w:sz="0" w:space="0" w:color="auto"/>
            <w:left w:val="none" w:sz="0" w:space="0" w:color="auto"/>
            <w:bottom w:val="none" w:sz="0" w:space="0" w:color="auto"/>
            <w:right w:val="none" w:sz="0" w:space="0" w:color="auto"/>
          </w:divBdr>
        </w:div>
        <w:div w:id="1082797654">
          <w:marLeft w:val="0"/>
          <w:marRight w:val="0"/>
          <w:marTop w:val="0"/>
          <w:marBottom w:val="0"/>
          <w:divBdr>
            <w:top w:val="none" w:sz="0" w:space="0" w:color="auto"/>
            <w:left w:val="none" w:sz="0" w:space="0" w:color="auto"/>
            <w:bottom w:val="none" w:sz="0" w:space="0" w:color="auto"/>
            <w:right w:val="none" w:sz="0" w:space="0" w:color="auto"/>
          </w:divBdr>
        </w:div>
        <w:div w:id="1103844915">
          <w:marLeft w:val="0"/>
          <w:marRight w:val="0"/>
          <w:marTop w:val="0"/>
          <w:marBottom w:val="0"/>
          <w:divBdr>
            <w:top w:val="none" w:sz="0" w:space="0" w:color="auto"/>
            <w:left w:val="none" w:sz="0" w:space="0" w:color="auto"/>
            <w:bottom w:val="none" w:sz="0" w:space="0" w:color="auto"/>
            <w:right w:val="none" w:sz="0" w:space="0" w:color="auto"/>
          </w:divBdr>
        </w:div>
      </w:divsChild>
    </w:div>
    <w:div w:id="83691624">
      <w:bodyDiv w:val="1"/>
      <w:marLeft w:val="0"/>
      <w:marRight w:val="0"/>
      <w:marTop w:val="0"/>
      <w:marBottom w:val="0"/>
      <w:divBdr>
        <w:top w:val="none" w:sz="0" w:space="0" w:color="auto"/>
        <w:left w:val="none" w:sz="0" w:space="0" w:color="auto"/>
        <w:bottom w:val="none" w:sz="0" w:space="0" w:color="auto"/>
        <w:right w:val="none" w:sz="0" w:space="0" w:color="auto"/>
      </w:divBdr>
      <w:divsChild>
        <w:div w:id="1129126336">
          <w:marLeft w:val="0"/>
          <w:marRight w:val="0"/>
          <w:marTop w:val="0"/>
          <w:marBottom w:val="0"/>
          <w:divBdr>
            <w:top w:val="none" w:sz="0" w:space="0" w:color="auto"/>
            <w:left w:val="none" w:sz="0" w:space="0" w:color="auto"/>
            <w:bottom w:val="none" w:sz="0" w:space="0" w:color="auto"/>
            <w:right w:val="none" w:sz="0" w:space="0" w:color="auto"/>
          </w:divBdr>
        </w:div>
        <w:div w:id="1786997650">
          <w:marLeft w:val="0"/>
          <w:marRight w:val="0"/>
          <w:marTop w:val="0"/>
          <w:marBottom w:val="0"/>
          <w:divBdr>
            <w:top w:val="none" w:sz="0" w:space="0" w:color="auto"/>
            <w:left w:val="none" w:sz="0" w:space="0" w:color="auto"/>
            <w:bottom w:val="none" w:sz="0" w:space="0" w:color="auto"/>
            <w:right w:val="none" w:sz="0" w:space="0" w:color="auto"/>
          </w:divBdr>
        </w:div>
        <w:div w:id="1990134330">
          <w:marLeft w:val="0"/>
          <w:marRight w:val="0"/>
          <w:marTop w:val="0"/>
          <w:marBottom w:val="0"/>
          <w:divBdr>
            <w:top w:val="none" w:sz="0" w:space="0" w:color="auto"/>
            <w:left w:val="none" w:sz="0" w:space="0" w:color="auto"/>
            <w:bottom w:val="none" w:sz="0" w:space="0" w:color="auto"/>
            <w:right w:val="none" w:sz="0" w:space="0" w:color="auto"/>
          </w:divBdr>
        </w:div>
        <w:div w:id="1709181182">
          <w:marLeft w:val="0"/>
          <w:marRight w:val="0"/>
          <w:marTop w:val="0"/>
          <w:marBottom w:val="0"/>
          <w:divBdr>
            <w:top w:val="none" w:sz="0" w:space="0" w:color="auto"/>
            <w:left w:val="none" w:sz="0" w:space="0" w:color="auto"/>
            <w:bottom w:val="none" w:sz="0" w:space="0" w:color="auto"/>
            <w:right w:val="none" w:sz="0" w:space="0" w:color="auto"/>
          </w:divBdr>
        </w:div>
        <w:div w:id="310602994">
          <w:marLeft w:val="0"/>
          <w:marRight w:val="0"/>
          <w:marTop w:val="0"/>
          <w:marBottom w:val="0"/>
          <w:divBdr>
            <w:top w:val="none" w:sz="0" w:space="0" w:color="auto"/>
            <w:left w:val="none" w:sz="0" w:space="0" w:color="auto"/>
            <w:bottom w:val="none" w:sz="0" w:space="0" w:color="auto"/>
            <w:right w:val="none" w:sz="0" w:space="0" w:color="auto"/>
          </w:divBdr>
        </w:div>
        <w:div w:id="707533115">
          <w:marLeft w:val="0"/>
          <w:marRight w:val="0"/>
          <w:marTop w:val="0"/>
          <w:marBottom w:val="0"/>
          <w:divBdr>
            <w:top w:val="none" w:sz="0" w:space="0" w:color="auto"/>
            <w:left w:val="none" w:sz="0" w:space="0" w:color="auto"/>
            <w:bottom w:val="none" w:sz="0" w:space="0" w:color="auto"/>
            <w:right w:val="none" w:sz="0" w:space="0" w:color="auto"/>
          </w:divBdr>
        </w:div>
      </w:divsChild>
    </w:div>
    <w:div w:id="96756139">
      <w:bodyDiv w:val="1"/>
      <w:marLeft w:val="0"/>
      <w:marRight w:val="0"/>
      <w:marTop w:val="0"/>
      <w:marBottom w:val="0"/>
      <w:divBdr>
        <w:top w:val="none" w:sz="0" w:space="0" w:color="auto"/>
        <w:left w:val="none" w:sz="0" w:space="0" w:color="auto"/>
        <w:bottom w:val="none" w:sz="0" w:space="0" w:color="auto"/>
        <w:right w:val="none" w:sz="0" w:space="0" w:color="auto"/>
      </w:divBdr>
      <w:divsChild>
        <w:div w:id="345862655">
          <w:marLeft w:val="0"/>
          <w:marRight w:val="0"/>
          <w:marTop w:val="0"/>
          <w:marBottom w:val="0"/>
          <w:divBdr>
            <w:top w:val="none" w:sz="0" w:space="0" w:color="auto"/>
            <w:left w:val="none" w:sz="0" w:space="0" w:color="auto"/>
            <w:bottom w:val="none" w:sz="0" w:space="0" w:color="auto"/>
            <w:right w:val="none" w:sz="0" w:space="0" w:color="auto"/>
          </w:divBdr>
        </w:div>
        <w:div w:id="2104177927">
          <w:marLeft w:val="0"/>
          <w:marRight w:val="0"/>
          <w:marTop w:val="0"/>
          <w:marBottom w:val="0"/>
          <w:divBdr>
            <w:top w:val="none" w:sz="0" w:space="0" w:color="auto"/>
            <w:left w:val="none" w:sz="0" w:space="0" w:color="auto"/>
            <w:bottom w:val="none" w:sz="0" w:space="0" w:color="auto"/>
            <w:right w:val="none" w:sz="0" w:space="0" w:color="auto"/>
          </w:divBdr>
        </w:div>
        <w:div w:id="1692755469">
          <w:marLeft w:val="0"/>
          <w:marRight w:val="0"/>
          <w:marTop w:val="0"/>
          <w:marBottom w:val="0"/>
          <w:divBdr>
            <w:top w:val="none" w:sz="0" w:space="0" w:color="auto"/>
            <w:left w:val="none" w:sz="0" w:space="0" w:color="auto"/>
            <w:bottom w:val="none" w:sz="0" w:space="0" w:color="auto"/>
            <w:right w:val="none" w:sz="0" w:space="0" w:color="auto"/>
          </w:divBdr>
        </w:div>
        <w:div w:id="420493913">
          <w:marLeft w:val="0"/>
          <w:marRight w:val="0"/>
          <w:marTop w:val="0"/>
          <w:marBottom w:val="0"/>
          <w:divBdr>
            <w:top w:val="none" w:sz="0" w:space="0" w:color="auto"/>
            <w:left w:val="none" w:sz="0" w:space="0" w:color="auto"/>
            <w:bottom w:val="none" w:sz="0" w:space="0" w:color="auto"/>
            <w:right w:val="none" w:sz="0" w:space="0" w:color="auto"/>
          </w:divBdr>
        </w:div>
      </w:divsChild>
    </w:div>
    <w:div w:id="117798274">
      <w:bodyDiv w:val="1"/>
      <w:marLeft w:val="0"/>
      <w:marRight w:val="0"/>
      <w:marTop w:val="0"/>
      <w:marBottom w:val="0"/>
      <w:divBdr>
        <w:top w:val="none" w:sz="0" w:space="0" w:color="auto"/>
        <w:left w:val="none" w:sz="0" w:space="0" w:color="auto"/>
        <w:bottom w:val="none" w:sz="0" w:space="0" w:color="auto"/>
        <w:right w:val="none" w:sz="0" w:space="0" w:color="auto"/>
      </w:divBdr>
    </w:div>
    <w:div w:id="169486849">
      <w:bodyDiv w:val="1"/>
      <w:marLeft w:val="0"/>
      <w:marRight w:val="0"/>
      <w:marTop w:val="0"/>
      <w:marBottom w:val="0"/>
      <w:divBdr>
        <w:top w:val="none" w:sz="0" w:space="0" w:color="auto"/>
        <w:left w:val="none" w:sz="0" w:space="0" w:color="auto"/>
        <w:bottom w:val="none" w:sz="0" w:space="0" w:color="auto"/>
        <w:right w:val="none" w:sz="0" w:space="0" w:color="auto"/>
      </w:divBdr>
    </w:div>
    <w:div w:id="175120673">
      <w:bodyDiv w:val="1"/>
      <w:marLeft w:val="0"/>
      <w:marRight w:val="0"/>
      <w:marTop w:val="0"/>
      <w:marBottom w:val="0"/>
      <w:divBdr>
        <w:top w:val="none" w:sz="0" w:space="0" w:color="auto"/>
        <w:left w:val="none" w:sz="0" w:space="0" w:color="auto"/>
        <w:bottom w:val="none" w:sz="0" w:space="0" w:color="auto"/>
        <w:right w:val="none" w:sz="0" w:space="0" w:color="auto"/>
      </w:divBdr>
    </w:div>
    <w:div w:id="286933457">
      <w:bodyDiv w:val="1"/>
      <w:marLeft w:val="0"/>
      <w:marRight w:val="0"/>
      <w:marTop w:val="0"/>
      <w:marBottom w:val="0"/>
      <w:divBdr>
        <w:top w:val="none" w:sz="0" w:space="0" w:color="auto"/>
        <w:left w:val="none" w:sz="0" w:space="0" w:color="auto"/>
        <w:bottom w:val="none" w:sz="0" w:space="0" w:color="auto"/>
        <w:right w:val="none" w:sz="0" w:space="0" w:color="auto"/>
      </w:divBdr>
      <w:divsChild>
        <w:div w:id="238293735">
          <w:marLeft w:val="0"/>
          <w:marRight w:val="0"/>
          <w:marTop w:val="0"/>
          <w:marBottom w:val="0"/>
          <w:divBdr>
            <w:top w:val="none" w:sz="0" w:space="0" w:color="auto"/>
            <w:left w:val="none" w:sz="0" w:space="0" w:color="auto"/>
            <w:bottom w:val="none" w:sz="0" w:space="0" w:color="auto"/>
            <w:right w:val="none" w:sz="0" w:space="0" w:color="auto"/>
          </w:divBdr>
        </w:div>
        <w:div w:id="990865635">
          <w:marLeft w:val="0"/>
          <w:marRight w:val="0"/>
          <w:marTop w:val="0"/>
          <w:marBottom w:val="0"/>
          <w:divBdr>
            <w:top w:val="none" w:sz="0" w:space="0" w:color="auto"/>
            <w:left w:val="none" w:sz="0" w:space="0" w:color="auto"/>
            <w:bottom w:val="none" w:sz="0" w:space="0" w:color="auto"/>
            <w:right w:val="none" w:sz="0" w:space="0" w:color="auto"/>
          </w:divBdr>
        </w:div>
        <w:div w:id="1875776646">
          <w:marLeft w:val="0"/>
          <w:marRight w:val="0"/>
          <w:marTop w:val="0"/>
          <w:marBottom w:val="0"/>
          <w:divBdr>
            <w:top w:val="none" w:sz="0" w:space="0" w:color="auto"/>
            <w:left w:val="none" w:sz="0" w:space="0" w:color="auto"/>
            <w:bottom w:val="none" w:sz="0" w:space="0" w:color="auto"/>
            <w:right w:val="none" w:sz="0" w:space="0" w:color="auto"/>
          </w:divBdr>
        </w:div>
        <w:div w:id="1589462218">
          <w:marLeft w:val="0"/>
          <w:marRight w:val="0"/>
          <w:marTop w:val="0"/>
          <w:marBottom w:val="0"/>
          <w:divBdr>
            <w:top w:val="none" w:sz="0" w:space="0" w:color="auto"/>
            <w:left w:val="none" w:sz="0" w:space="0" w:color="auto"/>
            <w:bottom w:val="none" w:sz="0" w:space="0" w:color="auto"/>
            <w:right w:val="none" w:sz="0" w:space="0" w:color="auto"/>
          </w:divBdr>
        </w:div>
        <w:div w:id="441654418">
          <w:marLeft w:val="0"/>
          <w:marRight w:val="0"/>
          <w:marTop w:val="0"/>
          <w:marBottom w:val="0"/>
          <w:divBdr>
            <w:top w:val="none" w:sz="0" w:space="0" w:color="auto"/>
            <w:left w:val="none" w:sz="0" w:space="0" w:color="auto"/>
            <w:bottom w:val="none" w:sz="0" w:space="0" w:color="auto"/>
            <w:right w:val="none" w:sz="0" w:space="0" w:color="auto"/>
          </w:divBdr>
        </w:div>
      </w:divsChild>
    </w:div>
    <w:div w:id="348915724">
      <w:bodyDiv w:val="1"/>
      <w:marLeft w:val="0"/>
      <w:marRight w:val="0"/>
      <w:marTop w:val="0"/>
      <w:marBottom w:val="0"/>
      <w:divBdr>
        <w:top w:val="none" w:sz="0" w:space="0" w:color="auto"/>
        <w:left w:val="none" w:sz="0" w:space="0" w:color="auto"/>
        <w:bottom w:val="none" w:sz="0" w:space="0" w:color="auto"/>
        <w:right w:val="none" w:sz="0" w:space="0" w:color="auto"/>
      </w:divBdr>
    </w:div>
    <w:div w:id="353773784">
      <w:bodyDiv w:val="1"/>
      <w:marLeft w:val="0"/>
      <w:marRight w:val="0"/>
      <w:marTop w:val="0"/>
      <w:marBottom w:val="0"/>
      <w:divBdr>
        <w:top w:val="none" w:sz="0" w:space="0" w:color="auto"/>
        <w:left w:val="none" w:sz="0" w:space="0" w:color="auto"/>
        <w:bottom w:val="none" w:sz="0" w:space="0" w:color="auto"/>
        <w:right w:val="none" w:sz="0" w:space="0" w:color="auto"/>
      </w:divBdr>
      <w:divsChild>
        <w:div w:id="273483499">
          <w:marLeft w:val="0"/>
          <w:marRight w:val="0"/>
          <w:marTop w:val="0"/>
          <w:marBottom w:val="0"/>
          <w:divBdr>
            <w:top w:val="none" w:sz="0" w:space="0" w:color="auto"/>
            <w:left w:val="none" w:sz="0" w:space="0" w:color="auto"/>
            <w:bottom w:val="none" w:sz="0" w:space="0" w:color="auto"/>
            <w:right w:val="none" w:sz="0" w:space="0" w:color="auto"/>
          </w:divBdr>
        </w:div>
        <w:div w:id="1898934781">
          <w:marLeft w:val="0"/>
          <w:marRight w:val="0"/>
          <w:marTop w:val="0"/>
          <w:marBottom w:val="0"/>
          <w:divBdr>
            <w:top w:val="none" w:sz="0" w:space="0" w:color="auto"/>
            <w:left w:val="none" w:sz="0" w:space="0" w:color="auto"/>
            <w:bottom w:val="none" w:sz="0" w:space="0" w:color="auto"/>
            <w:right w:val="none" w:sz="0" w:space="0" w:color="auto"/>
          </w:divBdr>
        </w:div>
        <w:div w:id="392895897">
          <w:marLeft w:val="0"/>
          <w:marRight w:val="0"/>
          <w:marTop w:val="0"/>
          <w:marBottom w:val="0"/>
          <w:divBdr>
            <w:top w:val="none" w:sz="0" w:space="0" w:color="auto"/>
            <w:left w:val="none" w:sz="0" w:space="0" w:color="auto"/>
            <w:bottom w:val="none" w:sz="0" w:space="0" w:color="auto"/>
            <w:right w:val="none" w:sz="0" w:space="0" w:color="auto"/>
          </w:divBdr>
        </w:div>
        <w:div w:id="307131817">
          <w:marLeft w:val="0"/>
          <w:marRight w:val="0"/>
          <w:marTop w:val="0"/>
          <w:marBottom w:val="0"/>
          <w:divBdr>
            <w:top w:val="none" w:sz="0" w:space="0" w:color="auto"/>
            <w:left w:val="none" w:sz="0" w:space="0" w:color="auto"/>
            <w:bottom w:val="none" w:sz="0" w:space="0" w:color="auto"/>
            <w:right w:val="none" w:sz="0" w:space="0" w:color="auto"/>
          </w:divBdr>
        </w:div>
        <w:div w:id="2136488383">
          <w:marLeft w:val="0"/>
          <w:marRight w:val="0"/>
          <w:marTop w:val="0"/>
          <w:marBottom w:val="0"/>
          <w:divBdr>
            <w:top w:val="none" w:sz="0" w:space="0" w:color="auto"/>
            <w:left w:val="none" w:sz="0" w:space="0" w:color="auto"/>
            <w:bottom w:val="none" w:sz="0" w:space="0" w:color="auto"/>
            <w:right w:val="none" w:sz="0" w:space="0" w:color="auto"/>
          </w:divBdr>
        </w:div>
        <w:div w:id="2049714898">
          <w:marLeft w:val="0"/>
          <w:marRight w:val="0"/>
          <w:marTop w:val="0"/>
          <w:marBottom w:val="0"/>
          <w:divBdr>
            <w:top w:val="none" w:sz="0" w:space="0" w:color="auto"/>
            <w:left w:val="none" w:sz="0" w:space="0" w:color="auto"/>
            <w:bottom w:val="none" w:sz="0" w:space="0" w:color="auto"/>
            <w:right w:val="none" w:sz="0" w:space="0" w:color="auto"/>
          </w:divBdr>
        </w:div>
        <w:div w:id="1031303153">
          <w:marLeft w:val="0"/>
          <w:marRight w:val="0"/>
          <w:marTop w:val="0"/>
          <w:marBottom w:val="0"/>
          <w:divBdr>
            <w:top w:val="none" w:sz="0" w:space="0" w:color="auto"/>
            <w:left w:val="none" w:sz="0" w:space="0" w:color="auto"/>
            <w:bottom w:val="none" w:sz="0" w:space="0" w:color="auto"/>
            <w:right w:val="none" w:sz="0" w:space="0" w:color="auto"/>
          </w:divBdr>
        </w:div>
      </w:divsChild>
    </w:div>
    <w:div w:id="446046941">
      <w:bodyDiv w:val="1"/>
      <w:marLeft w:val="0"/>
      <w:marRight w:val="0"/>
      <w:marTop w:val="0"/>
      <w:marBottom w:val="0"/>
      <w:divBdr>
        <w:top w:val="none" w:sz="0" w:space="0" w:color="auto"/>
        <w:left w:val="none" w:sz="0" w:space="0" w:color="auto"/>
        <w:bottom w:val="none" w:sz="0" w:space="0" w:color="auto"/>
        <w:right w:val="none" w:sz="0" w:space="0" w:color="auto"/>
      </w:divBdr>
    </w:div>
    <w:div w:id="446436053">
      <w:bodyDiv w:val="1"/>
      <w:marLeft w:val="0"/>
      <w:marRight w:val="0"/>
      <w:marTop w:val="0"/>
      <w:marBottom w:val="0"/>
      <w:divBdr>
        <w:top w:val="none" w:sz="0" w:space="0" w:color="auto"/>
        <w:left w:val="none" w:sz="0" w:space="0" w:color="auto"/>
        <w:bottom w:val="none" w:sz="0" w:space="0" w:color="auto"/>
        <w:right w:val="none" w:sz="0" w:space="0" w:color="auto"/>
      </w:divBdr>
      <w:divsChild>
        <w:div w:id="1198011366">
          <w:marLeft w:val="0"/>
          <w:marRight w:val="0"/>
          <w:marTop w:val="0"/>
          <w:marBottom w:val="0"/>
          <w:divBdr>
            <w:top w:val="none" w:sz="0" w:space="0" w:color="auto"/>
            <w:left w:val="none" w:sz="0" w:space="0" w:color="auto"/>
            <w:bottom w:val="none" w:sz="0" w:space="0" w:color="auto"/>
            <w:right w:val="none" w:sz="0" w:space="0" w:color="auto"/>
          </w:divBdr>
        </w:div>
        <w:div w:id="65226000">
          <w:marLeft w:val="0"/>
          <w:marRight w:val="0"/>
          <w:marTop w:val="0"/>
          <w:marBottom w:val="0"/>
          <w:divBdr>
            <w:top w:val="none" w:sz="0" w:space="0" w:color="auto"/>
            <w:left w:val="none" w:sz="0" w:space="0" w:color="auto"/>
            <w:bottom w:val="none" w:sz="0" w:space="0" w:color="auto"/>
            <w:right w:val="none" w:sz="0" w:space="0" w:color="auto"/>
          </w:divBdr>
        </w:div>
        <w:div w:id="375201301">
          <w:marLeft w:val="0"/>
          <w:marRight w:val="0"/>
          <w:marTop w:val="0"/>
          <w:marBottom w:val="0"/>
          <w:divBdr>
            <w:top w:val="none" w:sz="0" w:space="0" w:color="auto"/>
            <w:left w:val="none" w:sz="0" w:space="0" w:color="auto"/>
            <w:bottom w:val="none" w:sz="0" w:space="0" w:color="auto"/>
            <w:right w:val="none" w:sz="0" w:space="0" w:color="auto"/>
          </w:divBdr>
        </w:div>
      </w:divsChild>
    </w:div>
    <w:div w:id="467210282">
      <w:bodyDiv w:val="1"/>
      <w:marLeft w:val="0"/>
      <w:marRight w:val="0"/>
      <w:marTop w:val="0"/>
      <w:marBottom w:val="0"/>
      <w:divBdr>
        <w:top w:val="none" w:sz="0" w:space="0" w:color="auto"/>
        <w:left w:val="none" w:sz="0" w:space="0" w:color="auto"/>
        <w:bottom w:val="none" w:sz="0" w:space="0" w:color="auto"/>
        <w:right w:val="none" w:sz="0" w:space="0" w:color="auto"/>
      </w:divBdr>
      <w:divsChild>
        <w:div w:id="1226573979">
          <w:marLeft w:val="0"/>
          <w:marRight w:val="0"/>
          <w:marTop w:val="0"/>
          <w:marBottom w:val="0"/>
          <w:divBdr>
            <w:top w:val="none" w:sz="0" w:space="0" w:color="auto"/>
            <w:left w:val="none" w:sz="0" w:space="0" w:color="auto"/>
            <w:bottom w:val="none" w:sz="0" w:space="0" w:color="auto"/>
            <w:right w:val="none" w:sz="0" w:space="0" w:color="auto"/>
          </w:divBdr>
        </w:div>
        <w:div w:id="510722369">
          <w:marLeft w:val="0"/>
          <w:marRight w:val="0"/>
          <w:marTop w:val="0"/>
          <w:marBottom w:val="0"/>
          <w:divBdr>
            <w:top w:val="none" w:sz="0" w:space="0" w:color="auto"/>
            <w:left w:val="none" w:sz="0" w:space="0" w:color="auto"/>
            <w:bottom w:val="none" w:sz="0" w:space="0" w:color="auto"/>
            <w:right w:val="none" w:sz="0" w:space="0" w:color="auto"/>
          </w:divBdr>
        </w:div>
        <w:div w:id="558639377">
          <w:marLeft w:val="0"/>
          <w:marRight w:val="0"/>
          <w:marTop w:val="0"/>
          <w:marBottom w:val="0"/>
          <w:divBdr>
            <w:top w:val="none" w:sz="0" w:space="0" w:color="auto"/>
            <w:left w:val="none" w:sz="0" w:space="0" w:color="auto"/>
            <w:bottom w:val="none" w:sz="0" w:space="0" w:color="auto"/>
            <w:right w:val="none" w:sz="0" w:space="0" w:color="auto"/>
          </w:divBdr>
        </w:div>
        <w:div w:id="227350266">
          <w:marLeft w:val="0"/>
          <w:marRight w:val="0"/>
          <w:marTop w:val="0"/>
          <w:marBottom w:val="0"/>
          <w:divBdr>
            <w:top w:val="none" w:sz="0" w:space="0" w:color="auto"/>
            <w:left w:val="none" w:sz="0" w:space="0" w:color="auto"/>
            <w:bottom w:val="none" w:sz="0" w:space="0" w:color="auto"/>
            <w:right w:val="none" w:sz="0" w:space="0" w:color="auto"/>
          </w:divBdr>
        </w:div>
        <w:div w:id="376704525">
          <w:marLeft w:val="0"/>
          <w:marRight w:val="0"/>
          <w:marTop w:val="0"/>
          <w:marBottom w:val="0"/>
          <w:divBdr>
            <w:top w:val="none" w:sz="0" w:space="0" w:color="auto"/>
            <w:left w:val="none" w:sz="0" w:space="0" w:color="auto"/>
            <w:bottom w:val="none" w:sz="0" w:space="0" w:color="auto"/>
            <w:right w:val="none" w:sz="0" w:space="0" w:color="auto"/>
          </w:divBdr>
        </w:div>
        <w:div w:id="535627838">
          <w:marLeft w:val="0"/>
          <w:marRight w:val="0"/>
          <w:marTop w:val="0"/>
          <w:marBottom w:val="0"/>
          <w:divBdr>
            <w:top w:val="none" w:sz="0" w:space="0" w:color="auto"/>
            <w:left w:val="none" w:sz="0" w:space="0" w:color="auto"/>
            <w:bottom w:val="none" w:sz="0" w:space="0" w:color="auto"/>
            <w:right w:val="none" w:sz="0" w:space="0" w:color="auto"/>
          </w:divBdr>
        </w:div>
        <w:div w:id="1103184610">
          <w:marLeft w:val="0"/>
          <w:marRight w:val="0"/>
          <w:marTop w:val="0"/>
          <w:marBottom w:val="0"/>
          <w:divBdr>
            <w:top w:val="none" w:sz="0" w:space="0" w:color="auto"/>
            <w:left w:val="none" w:sz="0" w:space="0" w:color="auto"/>
            <w:bottom w:val="none" w:sz="0" w:space="0" w:color="auto"/>
            <w:right w:val="none" w:sz="0" w:space="0" w:color="auto"/>
          </w:divBdr>
        </w:div>
        <w:div w:id="1951275869">
          <w:marLeft w:val="0"/>
          <w:marRight w:val="0"/>
          <w:marTop w:val="0"/>
          <w:marBottom w:val="0"/>
          <w:divBdr>
            <w:top w:val="none" w:sz="0" w:space="0" w:color="auto"/>
            <w:left w:val="none" w:sz="0" w:space="0" w:color="auto"/>
            <w:bottom w:val="none" w:sz="0" w:space="0" w:color="auto"/>
            <w:right w:val="none" w:sz="0" w:space="0" w:color="auto"/>
          </w:divBdr>
        </w:div>
        <w:div w:id="1565525405">
          <w:marLeft w:val="0"/>
          <w:marRight w:val="0"/>
          <w:marTop w:val="0"/>
          <w:marBottom w:val="0"/>
          <w:divBdr>
            <w:top w:val="none" w:sz="0" w:space="0" w:color="auto"/>
            <w:left w:val="none" w:sz="0" w:space="0" w:color="auto"/>
            <w:bottom w:val="none" w:sz="0" w:space="0" w:color="auto"/>
            <w:right w:val="none" w:sz="0" w:space="0" w:color="auto"/>
          </w:divBdr>
        </w:div>
        <w:div w:id="1341857708">
          <w:marLeft w:val="0"/>
          <w:marRight w:val="0"/>
          <w:marTop w:val="0"/>
          <w:marBottom w:val="0"/>
          <w:divBdr>
            <w:top w:val="none" w:sz="0" w:space="0" w:color="auto"/>
            <w:left w:val="none" w:sz="0" w:space="0" w:color="auto"/>
            <w:bottom w:val="none" w:sz="0" w:space="0" w:color="auto"/>
            <w:right w:val="none" w:sz="0" w:space="0" w:color="auto"/>
          </w:divBdr>
        </w:div>
      </w:divsChild>
    </w:div>
    <w:div w:id="642584998">
      <w:bodyDiv w:val="1"/>
      <w:marLeft w:val="0"/>
      <w:marRight w:val="0"/>
      <w:marTop w:val="0"/>
      <w:marBottom w:val="0"/>
      <w:divBdr>
        <w:top w:val="none" w:sz="0" w:space="0" w:color="auto"/>
        <w:left w:val="none" w:sz="0" w:space="0" w:color="auto"/>
        <w:bottom w:val="none" w:sz="0" w:space="0" w:color="auto"/>
        <w:right w:val="none" w:sz="0" w:space="0" w:color="auto"/>
      </w:divBdr>
      <w:divsChild>
        <w:div w:id="264847210">
          <w:marLeft w:val="0"/>
          <w:marRight w:val="0"/>
          <w:marTop w:val="0"/>
          <w:marBottom w:val="0"/>
          <w:divBdr>
            <w:top w:val="none" w:sz="0" w:space="0" w:color="auto"/>
            <w:left w:val="none" w:sz="0" w:space="0" w:color="auto"/>
            <w:bottom w:val="none" w:sz="0" w:space="0" w:color="auto"/>
            <w:right w:val="none" w:sz="0" w:space="0" w:color="auto"/>
          </w:divBdr>
        </w:div>
        <w:div w:id="1611670390">
          <w:marLeft w:val="0"/>
          <w:marRight w:val="0"/>
          <w:marTop w:val="0"/>
          <w:marBottom w:val="0"/>
          <w:divBdr>
            <w:top w:val="none" w:sz="0" w:space="0" w:color="auto"/>
            <w:left w:val="none" w:sz="0" w:space="0" w:color="auto"/>
            <w:bottom w:val="none" w:sz="0" w:space="0" w:color="auto"/>
            <w:right w:val="none" w:sz="0" w:space="0" w:color="auto"/>
          </w:divBdr>
        </w:div>
        <w:div w:id="1723943850">
          <w:marLeft w:val="0"/>
          <w:marRight w:val="0"/>
          <w:marTop w:val="0"/>
          <w:marBottom w:val="0"/>
          <w:divBdr>
            <w:top w:val="none" w:sz="0" w:space="0" w:color="auto"/>
            <w:left w:val="none" w:sz="0" w:space="0" w:color="auto"/>
            <w:bottom w:val="none" w:sz="0" w:space="0" w:color="auto"/>
            <w:right w:val="none" w:sz="0" w:space="0" w:color="auto"/>
          </w:divBdr>
        </w:div>
        <w:div w:id="1488088327">
          <w:marLeft w:val="0"/>
          <w:marRight w:val="0"/>
          <w:marTop w:val="0"/>
          <w:marBottom w:val="0"/>
          <w:divBdr>
            <w:top w:val="none" w:sz="0" w:space="0" w:color="auto"/>
            <w:left w:val="none" w:sz="0" w:space="0" w:color="auto"/>
            <w:bottom w:val="none" w:sz="0" w:space="0" w:color="auto"/>
            <w:right w:val="none" w:sz="0" w:space="0" w:color="auto"/>
          </w:divBdr>
        </w:div>
        <w:div w:id="1311519363">
          <w:marLeft w:val="0"/>
          <w:marRight w:val="0"/>
          <w:marTop w:val="0"/>
          <w:marBottom w:val="0"/>
          <w:divBdr>
            <w:top w:val="none" w:sz="0" w:space="0" w:color="auto"/>
            <w:left w:val="none" w:sz="0" w:space="0" w:color="auto"/>
            <w:bottom w:val="none" w:sz="0" w:space="0" w:color="auto"/>
            <w:right w:val="none" w:sz="0" w:space="0" w:color="auto"/>
          </w:divBdr>
        </w:div>
        <w:div w:id="1681662142">
          <w:marLeft w:val="0"/>
          <w:marRight w:val="0"/>
          <w:marTop w:val="0"/>
          <w:marBottom w:val="0"/>
          <w:divBdr>
            <w:top w:val="none" w:sz="0" w:space="0" w:color="auto"/>
            <w:left w:val="none" w:sz="0" w:space="0" w:color="auto"/>
            <w:bottom w:val="none" w:sz="0" w:space="0" w:color="auto"/>
            <w:right w:val="none" w:sz="0" w:space="0" w:color="auto"/>
          </w:divBdr>
        </w:div>
        <w:div w:id="465781718">
          <w:marLeft w:val="0"/>
          <w:marRight w:val="0"/>
          <w:marTop w:val="0"/>
          <w:marBottom w:val="0"/>
          <w:divBdr>
            <w:top w:val="none" w:sz="0" w:space="0" w:color="auto"/>
            <w:left w:val="none" w:sz="0" w:space="0" w:color="auto"/>
            <w:bottom w:val="none" w:sz="0" w:space="0" w:color="auto"/>
            <w:right w:val="none" w:sz="0" w:space="0" w:color="auto"/>
          </w:divBdr>
        </w:div>
        <w:div w:id="289169720">
          <w:marLeft w:val="0"/>
          <w:marRight w:val="0"/>
          <w:marTop w:val="0"/>
          <w:marBottom w:val="0"/>
          <w:divBdr>
            <w:top w:val="none" w:sz="0" w:space="0" w:color="auto"/>
            <w:left w:val="none" w:sz="0" w:space="0" w:color="auto"/>
            <w:bottom w:val="none" w:sz="0" w:space="0" w:color="auto"/>
            <w:right w:val="none" w:sz="0" w:space="0" w:color="auto"/>
          </w:divBdr>
        </w:div>
        <w:div w:id="1403524633">
          <w:marLeft w:val="0"/>
          <w:marRight w:val="0"/>
          <w:marTop w:val="0"/>
          <w:marBottom w:val="0"/>
          <w:divBdr>
            <w:top w:val="none" w:sz="0" w:space="0" w:color="auto"/>
            <w:left w:val="none" w:sz="0" w:space="0" w:color="auto"/>
            <w:bottom w:val="none" w:sz="0" w:space="0" w:color="auto"/>
            <w:right w:val="none" w:sz="0" w:space="0" w:color="auto"/>
          </w:divBdr>
        </w:div>
        <w:div w:id="1272934929">
          <w:marLeft w:val="0"/>
          <w:marRight w:val="0"/>
          <w:marTop w:val="0"/>
          <w:marBottom w:val="0"/>
          <w:divBdr>
            <w:top w:val="none" w:sz="0" w:space="0" w:color="auto"/>
            <w:left w:val="none" w:sz="0" w:space="0" w:color="auto"/>
            <w:bottom w:val="none" w:sz="0" w:space="0" w:color="auto"/>
            <w:right w:val="none" w:sz="0" w:space="0" w:color="auto"/>
          </w:divBdr>
        </w:div>
        <w:div w:id="522209329">
          <w:marLeft w:val="0"/>
          <w:marRight w:val="0"/>
          <w:marTop w:val="0"/>
          <w:marBottom w:val="0"/>
          <w:divBdr>
            <w:top w:val="none" w:sz="0" w:space="0" w:color="auto"/>
            <w:left w:val="none" w:sz="0" w:space="0" w:color="auto"/>
            <w:bottom w:val="none" w:sz="0" w:space="0" w:color="auto"/>
            <w:right w:val="none" w:sz="0" w:space="0" w:color="auto"/>
          </w:divBdr>
        </w:div>
        <w:div w:id="304816472">
          <w:marLeft w:val="0"/>
          <w:marRight w:val="0"/>
          <w:marTop w:val="0"/>
          <w:marBottom w:val="0"/>
          <w:divBdr>
            <w:top w:val="none" w:sz="0" w:space="0" w:color="auto"/>
            <w:left w:val="none" w:sz="0" w:space="0" w:color="auto"/>
            <w:bottom w:val="none" w:sz="0" w:space="0" w:color="auto"/>
            <w:right w:val="none" w:sz="0" w:space="0" w:color="auto"/>
          </w:divBdr>
        </w:div>
        <w:div w:id="819152379">
          <w:marLeft w:val="0"/>
          <w:marRight w:val="0"/>
          <w:marTop w:val="0"/>
          <w:marBottom w:val="0"/>
          <w:divBdr>
            <w:top w:val="none" w:sz="0" w:space="0" w:color="auto"/>
            <w:left w:val="none" w:sz="0" w:space="0" w:color="auto"/>
            <w:bottom w:val="none" w:sz="0" w:space="0" w:color="auto"/>
            <w:right w:val="none" w:sz="0" w:space="0" w:color="auto"/>
          </w:divBdr>
        </w:div>
        <w:div w:id="1502626709">
          <w:marLeft w:val="0"/>
          <w:marRight w:val="0"/>
          <w:marTop w:val="0"/>
          <w:marBottom w:val="0"/>
          <w:divBdr>
            <w:top w:val="none" w:sz="0" w:space="0" w:color="auto"/>
            <w:left w:val="none" w:sz="0" w:space="0" w:color="auto"/>
            <w:bottom w:val="none" w:sz="0" w:space="0" w:color="auto"/>
            <w:right w:val="none" w:sz="0" w:space="0" w:color="auto"/>
          </w:divBdr>
        </w:div>
        <w:div w:id="1166555379">
          <w:marLeft w:val="0"/>
          <w:marRight w:val="0"/>
          <w:marTop w:val="0"/>
          <w:marBottom w:val="0"/>
          <w:divBdr>
            <w:top w:val="none" w:sz="0" w:space="0" w:color="auto"/>
            <w:left w:val="none" w:sz="0" w:space="0" w:color="auto"/>
            <w:bottom w:val="none" w:sz="0" w:space="0" w:color="auto"/>
            <w:right w:val="none" w:sz="0" w:space="0" w:color="auto"/>
          </w:divBdr>
        </w:div>
        <w:div w:id="1434670723">
          <w:marLeft w:val="0"/>
          <w:marRight w:val="0"/>
          <w:marTop w:val="0"/>
          <w:marBottom w:val="0"/>
          <w:divBdr>
            <w:top w:val="none" w:sz="0" w:space="0" w:color="auto"/>
            <w:left w:val="none" w:sz="0" w:space="0" w:color="auto"/>
            <w:bottom w:val="none" w:sz="0" w:space="0" w:color="auto"/>
            <w:right w:val="none" w:sz="0" w:space="0" w:color="auto"/>
          </w:divBdr>
        </w:div>
        <w:div w:id="3939458">
          <w:marLeft w:val="0"/>
          <w:marRight w:val="0"/>
          <w:marTop w:val="0"/>
          <w:marBottom w:val="0"/>
          <w:divBdr>
            <w:top w:val="none" w:sz="0" w:space="0" w:color="auto"/>
            <w:left w:val="none" w:sz="0" w:space="0" w:color="auto"/>
            <w:bottom w:val="none" w:sz="0" w:space="0" w:color="auto"/>
            <w:right w:val="none" w:sz="0" w:space="0" w:color="auto"/>
          </w:divBdr>
        </w:div>
        <w:div w:id="1078401411">
          <w:marLeft w:val="0"/>
          <w:marRight w:val="0"/>
          <w:marTop w:val="0"/>
          <w:marBottom w:val="0"/>
          <w:divBdr>
            <w:top w:val="none" w:sz="0" w:space="0" w:color="auto"/>
            <w:left w:val="none" w:sz="0" w:space="0" w:color="auto"/>
            <w:bottom w:val="none" w:sz="0" w:space="0" w:color="auto"/>
            <w:right w:val="none" w:sz="0" w:space="0" w:color="auto"/>
          </w:divBdr>
        </w:div>
        <w:div w:id="1404331918">
          <w:marLeft w:val="0"/>
          <w:marRight w:val="0"/>
          <w:marTop w:val="0"/>
          <w:marBottom w:val="0"/>
          <w:divBdr>
            <w:top w:val="none" w:sz="0" w:space="0" w:color="auto"/>
            <w:left w:val="none" w:sz="0" w:space="0" w:color="auto"/>
            <w:bottom w:val="none" w:sz="0" w:space="0" w:color="auto"/>
            <w:right w:val="none" w:sz="0" w:space="0" w:color="auto"/>
          </w:divBdr>
        </w:div>
        <w:div w:id="1255937160">
          <w:marLeft w:val="0"/>
          <w:marRight w:val="0"/>
          <w:marTop w:val="0"/>
          <w:marBottom w:val="0"/>
          <w:divBdr>
            <w:top w:val="none" w:sz="0" w:space="0" w:color="auto"/>
            <w:left w:val="none" w:sz="0" w:space="0" w:color="auto"/>
            <w:bottom w:val="none" w:sz="0" w:space="0" w:color="auto"/>
            <w:right w:val="none" w:sz="0" w:space="0" w:color="auto"/>
          </w:divBdr>
        </w:div>
        <w:div w:id="920916723">
          <w:marLeft w:val="0"/>
          <w:marRight w:val="0"/>
          <w:marTop w:val="0"/>
          <w:marBottom w:val="0"/>
          <w:divBdr>
            <w:top w:val="none" w:sz="0" w:space="0" w:color="auto"/>
            <w:left w:val="none" w:sz="0" w:space="0" w:color="auto"/>
            <w:bottom w:val="none" w:sz="0" w:space="0" w:color="auto"/>
            <w:right w:val="none" w:sz="0" w:space="0" w:color="auto"/>
          </w:divBdr>
        </w:div>
        <w:div w:id="2136020189">
          <w:marLeft w:val="0"/>
          <w:marRight w:val="0"/>
          <w:marTop w:val="0"/>
          <w:marBottom w:val="0"/>
          <w:divBdr>
            <w:top w:val="none" w:sz="0" w:space="0" w:color="auto"/>
            <w:left w:val="none" w:sz="0" w:space="0" w:color="auto"/>
            <w:bottom w:val="none" w:sz="0" w:space="0" w:color="auto"/>
            <w:right w:val="none" w:sz="0" w:space="0" w:color="auto"/>
          </w:divBdr>
        </w:div>
        <w:div w:id="2122525830">
          <w:marLeft w:val="0"/>
          <w:marRight w:val="0"/>
          <w:marTop w:val="0"/>
          <w:marBottom w:val="0"/>
          <w:divBdr>
            <w:top w:val="none" w:sz="0" w:space="0" w:color="auto"/>
            <w:left w:val="none" w:sz="0" w:space="0" w:color="auto"/>
            <w:bottom w:val="none" w:sz="0" w:space="0" w:color="auto"/>
            <w:right w:val="none" w:sz="0" w:space="0" w:color="auto"/>
          </w:divBdr>
        </w:div>
        <w:div w:id="543105740">
          <w:marLeft w:val="0"/>
          <w:marRight w:val="0"/>
          <w:marTop w:val="0"/>
          <w:marBottom w:val="0"/>
          <w:divBdr>
            <w:top w:val="none" w:sz="0" w:space="0" w:color="auto"/>
            <w:left w:val="none" w:sz="0" w:space="0" w:color="auto"/>
            <w:bottom w:val="none" w:sz="0" w:space="0" w:color="auto"/>
            <w:right w:val="none" w:sz="0" w:space="0" w:color="auto"/>
          </w:divBdr>
        </w:div>
        <w:div w:id="192235541">
          <w:marLeft w:val="0"/>
          <w:marRight w:val="0"/>
          <w:marTop w:val="0"/>
          <w:marBottom w:val="0"/>
          <w:divBdr>
            <w:top w:val="none" w:sz="0" w:space="0" w:color="auto"/>
            <w:left w:val="none" w:sz="0" w:space="0" w:color="auto"/>
            <w:bottom w:val="none" w:sz="0" w:space="0" w:color="auto"/>
            <w:right w:val="none" w:sz="0" w:space="0" w:color="auto"/>
          </w:divBdr>
        </w:div>
        <w:div w:id="1968311663">
          <w:marLeft w:val="0"/>
          <w:marRight w:val="0"/>
          <w:marTop w:val="0"/>
          <w:marBottom w:val="0"/>
          <w:divBdr>
            <w:top w:val="none" w:sz="0" w:space="0" w:color="auto"/>
            <w:left w:val="none" w:sz="0" w:space="0" w:color="auto"/>
            <w:bottom w:val="none" w:sz="0" w:space="0" w:color="auto"/>
            <w:right w:val="none" w:sz="0" w:space="0" w:color="auto"/>
          </w:divBdr>
        </w:div>
        <w:div w:id="1510177937">
          <w:marLeft w:val="0"/>
          <w:marRight w:val="0"/>
          <w:marTop w:val="0"/>
          <w:marBottom w:val="0"/>
          <w:divBdr>
            <w:top w:val="none" w:sz="0" w:space="0" w:color="auto"/>
            <w:left w:val="none" w:sz="0" w:space="0" w:color="auto"/>
            <w:bottom w:val="none" w:sz="0" w:space="0" w:color="auto"/>
            <w:right w:val="none" w:sz="0" w:space="0" w:color="auto"/>
          </w:divBdr>
        </w:div>
        <w:div w:id="36634871">
          <w:marLeft w:val="0"/>
          <w:marRight w:val="0"/>
          <w:marTop w:val="0"/>
          <w:marBottom w:val="0"/>
          <w:divBdr>
            <w:top w:val="none" w:sz="0" w:space="0" w:color="auto"/>
            <w:left w:val="none" w:sz="0" w:space="0" w:color="auto"/>
            <w:bottom w:val="none" w:sz="0" w:space="0" w:color="auto"/>
            <w:right w:val="none" w:sz="0" w:space="0" w:color="auto"/>
          </w:divBdr>
        </w:div>
        <w:div w:id="2078626915">
          <w:marLeft w:val="0"/>
          <w:marRight w:val="0"/>
          <w:marTop w:val="0"/>
          <w:marBottom w:val="0"/>
          <w:divBdr>
            <w:top w:val="none" w:sz="0" w:space="0" w:color="auto"/>
            <w:left w:val="none" w:sz="0" w:space="0" w:color="auto"/>
            <w:bottom w:val="none" w:sz="0" w:space="0" w:color="auto"/>
            <w:right w:val="none" w:sz="0" w:space="0" w:color="auto"/>
          </w:divBdr>
        </w:div>
        <w:div w:id="54396827">
          <w:marLeft w:val="0"/>
          <w:marRight w:val="0"/>
          <w:marTop w:val="0"/>
          <w:marBottom w:val="0"/>
          <w:divBdr>
            <w:top w:val="none" w:sz="0" w:space="0" w:color="auto"/>
            <w:left w:val="none" w:sz="0" w:space="0" w:color="auto"/>
            <w:bottom w:val="none" w:sz="0" w:space="0" w:color="auto"/>
            <w:right w:val="none" w:sz="0" w:space="0" w:color="auto"/>
          </w:divBdr>
        </w:div>
        <w:div w:id="1160736934">
          <w:marLeft w:val="0"/>
          <w:marRight w:val="0"/>
          <w:marTop w:val="0"/>
          <w:marBottom w:val="0"/>
          <w:divBdr>
            <w:top w:val="none" w:sz="0" w:space="0" w:color="auto"/>
            <w:left w:val="none" w:sz="0" w:space="0" w:color="auto"/>
            <w:bottom w:val="none" w:sz="0" w:space="0" w:color="auto"/>
            <w:right w:val="none" w:sz="0" w:space="0" w:color="auto"/>
          </w:divBdr>
        </w:div>
        <w:div w:id="1283417536">
          <w:marLeft w:val="0"/>
          <w:marRight w:val="0"/>
          <w:marTop w:val="0"/>
          <w:marBottom w:val="0"/>
          <w:divBdr>
            <w:top w:val="none" w:sz="0" w:space="0" w:color="auto"/>
            <w:left w:val="none" w:sz="0" w:space="0" w:color="auto"/>
            <w:bottom w:val="none" w:sz="0" w:space="0" w:color="auto"/>
            <w:right w:val="none" w:sz="0" w:space="0" w:color="auto"/>
          </w:divBdr>
        </w:div>
        <w:div w:id="239869453">
          <w:marLeft w:val="0"/>
          <w:marRight w:val="0"/>
          <w:marTop w:val="0"/>
          <w:marBottom w:val="0"/>
          <w:divBdr>
            <w:top w:val="none" w:sz="0" w:space="0" w:color="auto"/>
            <w:left w:val="none" w:sz="0" w:space="0" w:color="auto"/>
            <w:bottom w:val="none" w:sz="0" w:space="0" w:color="auto"/>
            <w:right w:val="none" w:sz="0" w:space="0" w:color="auto"/>
          </w:divBdr>
        </w:div>
        <w:div w:id="1641884445">
          <w:marLeft w:val="0"/>
          <w:marRight w:val="0"/>
          <w:marTop w:val="0"/>
          <w:marBottom w:val="0"/>
          <w:divBdr>
            <w:top w:val="none" w:sz="0" w:space="0" w:color="auto"/>
            <w:left w:val="none" w:sz="0" w:space="0" w:color="auto"/>
            <w:bottom w:val="none" w:sz="0" w:space="0" w:color="auto"/>
            <w:right w:val="none" w:sz="0" w:space="0" w:color="auto"/>
          </w:divBdr>
        </w:div>
        <w:div w:id="184297520">
          <w:marLeft w:val="0"/>
          <w:marRight w:val="0"/>
          <w:marTop w:val="0"/>
          <w:marBottom w:val="0"/>
          <w:divBdr>
            <w:top w:val="none" w:sz="0" w:space="0" w:color="auto"/>
            <w:left w:val="none" w:sz="0" w:space="0" w:color="auto"/>
            <w:bottom w:val="none" w:sz="0" w:space="0" w:color="auto"/>
            <w:right w:val="none" w:sz="0" w:space="0" w:color="auto"/>
          </w:divBdr>
        </w:div>
        <w:div w:id="1574194857">
          <w:marLeft w:val="0"/>
          <w:marRight w:val="0"/>
          <w:marTop w:val="0"/>
          <w:marBottom w:val="0"/>
          <w:divBdr>
            <w:top w:val="none" w:sz="0" w:space="0" w:color="auto"/>
            <w:left w:val="none" w:sz="0" w:space="0" w:color="auto"/>
            <w:bottom w:val="none" w:sz="0" w:space="0" w:color="auto"/>
            <w:right w:val="none" w:sz="0" w:space="0" w:color="auto"/>
          </w:divBdr>
        </w:div>
        <w:div w:id="1432510534">
          <w:marLeft w:val="0"/>
          <w:marRight w:val="0"/>
          <w:marTop w:val="0"/>
          <w:marBottom w:val="0"/>
          <w:divBdr>
            <w:top w:val="none" w:sz="0" w:space="0" w:color="auto"/>
            <w:left w:val="none" w:sz="0" w:space="0" w:color="auto"/>
            <w:bottom w:val="none" w:sz="0" w:space="0" w:color="auto"/>
            <w:right w:val="none" w:sz="0" w:space="0" w:color="auto"/>
          </w:divBdr>
        </w:div>
        <w:div w:id="166479175">
          <w:marLeft w:val="0"/>
          <w:marRight w:val="0"/>
          <w:marTop w:val="0"/>
          <w:marBottom w:val="0"/>
          <w:divBdr>
            <w:top w:val="none" w:sz="0" w:space="0" w:color="auto"/>
            <w:left w:val="none" w:sz="0" w:space="0" w:color="auto"/>
            <w:bottom w:val="none" w:sz="0" w:space="0" w:color="auto"/>
            <w:right w:val="none" w:sz="0" w:space="0" w:color="auto"/>
          </w:divBdr>
        </w:div>
        <w:div w:id="1070346689">
          <w:marLeft w:val="0"/>
          <w:marRight w:val="0"/>
          <w:marTop w:val="0"/>
          <w:marBottom w:val="0"/>
          <w:divBdr>
            <w:top w:val="none" w:sz="0" w:space="0" w:color="auto"/>
            <w:left w:val="none" w:sz="0" w:space="0" w:color="auto"/>
            <w:bottom w:val="none" w:sz="0" w:space="0" w:color="auto"/>
            <w:right w:val="none" w:sz="0" w:space="0" w:color="auto"/>
          </w:divBdr>
        </w:div>
        <w:div w:id="1486126684">
          <w:marLeft w:val="0"/>
          <w:marRight w:val="0"/>
          <w:marTop w:val="0"/>
          <w:marBottom w:val="0"/>
          <w:divBdr>
            <w:top w:val="none" w:sz="0" w:space="0" w:color="auto"/>
            <w:left w:val="none" w:sz="0" w:space="0" w:color="auto"/>
            <w:bottom w:val="none" w:sz="0" w:space="0" w:color="auto"/>
            <w:right w:val="none" w:sz="0" w:space="0" w:color="auto"/>
          </w:divBdr>
        </w:div>
        <w:div w:id="1255892381">
          <w:marLeft w:val="0"/>
          <w:marRight w:val="0"/>
          <w:marTop w:val="0"/>
          <w:marBottom w:val="0"/>
          <w:divBdr>
            <w:top w:val="none" w:sz="0" w:space="0" w:color="auto"/>
            <w:left w:val="none" w:sz="0" w:space="0" w:color="auto"/>
            <w:bottom w:val="none" w:sz="0" w:space="0" w:color="auto"/>
            <w:right w:val="none" w:sz="0" w:space="0" w:color="auto"/>
          </w:divBdr>
        </w:div>
        <w:div w:id="1523740832">
          <w:marLeft w:val="0"/>
          <w:marRight w:val="0"/>
          <w:marTop w:val="0"/>
          <w:marBottom w:val="0"/>
          <w:divBdr>
            <w:top w:val="none" w:sz="0" w:space="0" w:color="auto"/>
            <w:left w:val="none" w:sz="0" w:space="0" w:color="auto"/>
            <w:bottom w:val="none" w:sz="0" w:space="0" w:color="auto"/>
            <w:right w:val="none" w:sz="0" w:space="0" w:color="auto"/>
          </w:divBdr>
        </w:div>
        <w:div w:id="1205405495">
          <w:marLeft w:val="0"/>
          <w:marRight w:val="0"/>
          <w:marTop w:val="0"/>
          <w:marBottom w:val="0"/>
          <w:divBdr>
            <w:top w:val="none" w:sz="0" w:space="0" w:color="auto"/>
            <w:left w:val="none" w:sz="0" w:space="0" w:color="auto"/>
            <w:bottom w:val="none" w:sz="0" w:space="0" w:color="auto"/>
            <w:right w:val="none" w:sz="0" w:space="0" w:color="auto"/>
          </w:divBdr>
        </w:div>
        <w:div w:id="1280794306">
          <w:marLeft w:val="0"/>
          <w:marRight w:val="0"/>
          <w:marTop w:val="0"/>
          <w:marBottom w:val="0"/>
          <w:divBdr>
            <w:top w:val="none" w:sz="0" w:space="0" w:color="auto"/>
            <w:left w:val="none" w:sz="0" w:space="0" w:color="auto"/>
            <w:bottom w:val="none" w:sz="0" w:space="0" w:color="auto"/>
            <w:right w:val="none" w:sz="0" w:space="0" w:color="auto"/>
          </w:divBdr>
        </w:div>
        <w:div w:id="1269505659">
          <w:marLeft w:val="0"/>
          <w:marRight w:val="0"/>
          <w:marTop w:val="0"/>
          <w:marBottom w:val="0"/>
          <w:divBdr>
            <w:top w:val="none" w:sz="0" w:space="0" w:color="auto"/>
            <w:left w:val="none" w:sz="0" w:space="0" w:color="auto"/>
            <w:bottom w:val="none" w:sz="0" w:space="0" w:color="auto"/>
            <w:right w:val="none" w:sz="0" w:space="0" w:color="auto"/>
          </w:divBdr>
        </w:div>
        <w:div w:id="1750301756">
          <w:marLeft w:val="0"/>
          <w:marRight w:val="0"/>
          <w:marTop w:val="0"/>
          <w:marBottom w:val="0"/>
          <w:divBdr>
            <w:top w:val="none" w:sz="0" w:space="0" w:color="auto"/>
            <w:left w:val="none" w:sz="0" w:space="0" w:color="auto"/>
            <w:bottom w:val="none" w:sz="0" w:space="0" w:color="auto"/>
            <w:right w:val="none" w:sz="0" w:space="0" w:color="auto"/>
          </w:divBdr>
        </w:div>
        <w:div w:id="1168329337">
          <w:marLeft w:val="0"/>
          <w:marRight w:val="0"/>
          <w:marTop w:val="0"/>
          <w:marBottom w:val="0"/>
          <w:divBdr>
            <w:top w:val="none" w:sz="0" w:space="0" w:color="auto"/>
            <w:left w:val="none" w:sz="0" w:space="0" w:color="auto"/>
            <w:bottom w:val="none" w:sz="0" w:space="0" w:color="auto"/>
            <w:right w:val="none" w:sz="0" w:space="0" w:color="auto"/>
          </w:divBdr>
        </w:div>
        <w:div w:id="532619908">
          <w:marLeft w:val="0"/>
          <w:marRight w:val="0"/>
          <w:marTop w:val="0"/>
          <w:marBottom w:val="0"/>
          <w:divBdr>
            <w:top w:val="none" w:sz="0" w:space="0" w:color="auto"/>
            <w:left w:val="none" w:sz="0" w:space="0" w:color="auto"/>
            <w:bottom w:val="none" w:sz="0" w:space="0" w:color="auto"/>
            <w:right w:val="none" w:sz="0" w:space="0" w:color="auto"/>
          </w:divBdr>
        </w:div>
        <w:div w:id="1092044898">
          <w:marLeft w:val="0"/>
          <w:marRight w:val="0"/>
          <w:marTop w:val="0"/>
          <w:marBottom w:val="0"/>
          <w:divBdr>
            <w:top w:val="none" w:sz="0" w:space="0" w:color="auto"/>
            <w:left w:val="none" w:sz="0" w:space="0" w:color="auto"/>
            <w:bottom w:val="none" w:sz="0" w:space="0" w:color="auto"/>
            <w:right w:val="none" w:sz="0" w:space="0" w:color="auto"/>
          </w:divBdr>
        </w:div>
        <w:div w:id="1922255102">
          <w:marLeft w:val="0"/>
          <w:marRight w:val="0"/>
          <w:marTop w:val="0"/>
          <w:marBottom w:val="0"/>
          <w:divBdr>
            <w:top w:val="none" w:sz="0" w:space="0" w:color="auto"/>
            <w:left w:val="none" w:sz="0" w:space="0" w:color="auto"/>
            <w:bottom w:val="none" w:sz="0" w:space="0" w:color="auto"/>
            <w:right w:val="none" w:sz="0" w:space="0" w:color="auto"/>
          </w:divBdr>
        </w:div>
        <w:div w:id="1580678716">
          <w:marLeft w:val="0"/>
          <w:marRight w:val="0"/>
          <w:marTop w:val="0"/>
          <w:marBottom w:val="0"/>
          <w:divBdr>
            <w:top w:val="none" w:sz="0" w:space="0" w:color="auto"/>
            <w:left w:val="none" w:sz="0" w:space="0" w:color="auto"/>
            <w:bottom w:val="none" w:sz="0" w:space="0" w:color="auto"/>
            <w:right w:val="none" w:sz="0" w:space="0" w:color="auto"/>
          </w:divBdr>
        </w:div>
      </w:divsChild>
    </w:div>
    <w:div w:id="916014512">
      <w:bodyDiv w:val="1"/>
      <w:marLeft w:val="0"/>
      <w:marRight w:val="0"/>
      <w:marTop w:val="0"/>
      <w:marBottom w:val="0"/>
      <w:divBdr>
        <w:top w:val="none" w:sz="0" w:space="0" w:color="auto"/>
        <w:left w:val="none" w:sz="0" w:space="0" w:color="auto"/>
        <w:bottom w:val="none" w:sz="0" w:space="0" w:color="auto"/>
        <w:right w:val="none" w:sz="0" w:space="0" w:color="auto"/>
      </w:divBdr>
    </w:div>
    <w:div w:id="1012340409">
      <w:bodyDiv w:val="1"/>
      <w:marLeft w:val="0"/>
      <w:marRight w:val="0"/>
      <w:marTop w:val="0"/>
      <w:marBottom w:val="0"/>
      <w:divBdr>
        <w:top w:val="none" w:sz="0" w:space="0" w:color="auto"/>
        <w:left w:val="none" w:sz="0" w:space="0" w:color="auto"/>
        <w:bottom w:val="none" w:sz="0" w:space="0" w:color="auto"/>
        <w:right w:val="none" w:sz="0" w:space="0" w:color="auto"/>
      </w:divBdr>
    </w:div>
    <w:div w:id="1013994862">
      <w:bodyDiv w:val="1"/>
      <w:marLeft w:val="0"/>
      <w:marRight w:val="0"/>
      <w:marTop w:val="0"/>
      <w:marBottom w:val="0"/>
      <w:divBdr>
        <w:top w:val="none" w:sz="0" w:space="0" w:color="auto"/>
        <w:left w:val="none" w:sz="0" w:space="0" w:color="auto"/>
        <w:bottom w:val="none" w:sz="0" w:space="0" w:color="auto"/>
        <w:right w:val="none" w:sz="0" w:space="0" w:color="auto"/>
      </w:divBdr>
    </w:div>
    <w:div w:id="1382896925">
      <w:bodyDiv w:val="1"/>
      <w:marLeft w:val="0"/>
      <w:marRight w:val="0"/>
      <w:marTop w:val="0"/>
      <w:marBottom w:val="0"/>
      <w:divBdr>
        <w:top w:val="none" w:sz="0" w:space="0" w:color="auto"/>
        <w:left w:val="none" w:sz="0" w:space="0" w:color="auto"/>
        <w:bottom w:val="none" w:sz="0" w:space="0" w:color="auto"/>
        <w:right w:val="none" w:sz="0" w:space="0" w:color="auto"/>
      </w:divBdr>
      <w:divsChild>
        <w:div w:id="1130394828">
          <w:marLeft w:val="0"/>
          <w:marRight w:val="0"/>
          <w:marTop w:val="0"/>
          <w:marBottom w:val="0"/>
          <w:divBdr>
            <w:top w:val="none" w:sz="0" w:space="0" w:color="auto"/>
            <w:left w:val="none" w:sz="0" w:space="0" w:color="auto"/>
            <w:bottom w:val="none" w:sz="0" w:space="0" w:color="auto"/>
            <w:right w:val="none" w:sz="0" w:space="0" w:color="auto"/>
          </w:divBdr>
        </w:div>
        <w:div w:id="1494101758">
          <w:marLeft w:val="0"/>
          <w:marRight w:val="0"/>
          <w:marTop w:val="0"/>
          <w:marBottom w:val="0"/>
          <w:divBdr>
            <w:top w:val="none" w:sz="0" w:space="0" w:color="auto"/>
            <w:left w:val="none" w:sz="0" w:space="0" w:color="auto"/>
            <w:bottom w:val="none" w:sz="0" w:space="0" w:color="auto"/>
            <w:right w:val="none" w:sz="0" w:space="0" w:color="auto"/>
          </w:divBdr>
        </w:div>
        <w:div w:id="1583560846">
          <w:marLeft w:val="0"/>
          <w:marRight w:val="0"/>
          <w:marTop w:val="0"/>
          <w:marBottom w:val="0"/>
          <w:divBdr>
            <w:top w:val="none" w:sz="0" w:space="0" w:color="auto"/>
            <w:left w:val="none" w:sz="0" w:space="0" w:color="auto"/>
            <w:bottom w:val="none" w:sz="0" w:space="0" w:color="auto"/>
            <w:right w:val="none" w:sz="0" w:space="0" w:color="auto"/>
          </w:divBdr>
        </w:div>
        <w:div w:id="1258753068">
          <w:marLeft w:val="0"/>
          <w:marRight w:val="0"/>
          <w:marTop w:val="0"/>
          <w:marBottom w:val="0"/>
          <w:divBdr>
            <w:top w:val="none" w:sz="0" w:space="0" w:color="auto"/>
            <w:left w:val="none" w:sz="0" w:space="0" w:color="auto"/>
            <w:bottom w:val="none" w:sz="0" w:space="0" w:color="auto"/>
            <w:right w:val="none" w:sz="0" w:space="0" w:color="auto"/>
          </w:divBdr>
        </w:div>
        <w:div w:id="104808697">
          <w:marLeft w:val="0"/>
          <w:marRight w:val="0"/>
          <w:marTop w:val="0"/>
          <w:marBottom w:val="0"/>
          <w:divBdr>
            <w:top w:val="none" w:sz="0" w:space="0" w:color="auto"/>
            <w:left w:val="none" w:sz="0" w:space="0" w:color="auto"/>
            <w:bottom w:val="none" w:sz="0" w:space="0" w:color="auto"/>
            <w:right w:val="none" w:sz="0" w:space="0" w:color="auto"/>
          </w:divBdr>
        </w:div>
        <w:div w:id="511648589">
          <w:marLeft w:val="0"/>
          <w:marRight w:val="0"/>
          <w:marTop w:val="0"/>
          <w:marBottom w:val="0"/>
          <w:divBdr>
            <w:top w:val="none" w:sz="0" w:space="0" w:color="auto"/>
            <w:left w:val="none" w:sz="0" w:space="0" w:color="auto"/>
            <w:bottom w:val="none" w:sz="0" w:space="0" w:color="auto"/>
            <w:right w:val="none" w:sz="0" w:space="0" w:color="auto"/>
          </w:divBdr>
        </w:div>
        <w:div w:id="1127744622">
          <w:marLeft w:val="0"/>
          <w:marRight w:val="0"/>
          <w:marTop w:val="0"/>
          <w:marBottom w:val="0"/>
          <w:divBdr>
            <w:top w:val="none" w:sz="0" w:space="0" w:color="auto"/>
            <w:left w:val="none" w:sz="0" w:space="0" w:color="auto"/>
            <w:bottom w:val="none" w:sz="0" w:space="0" w:color="auto"/>
            <w:right w:val="none" w:sz="0" w:space="0" w:color="auto"/>
          </w:divBdr>
        </w:div>
        <w:div w:id="176384359">
          <w:marLeft w:val="0"/>
          <w:marRight w:val="0"/>
          <w:marTop w:val="0"/>
          <w:marBottom w:val="0"/>
          <w:divBdr>
            <w:top w:val="none" w:sz="0" w:space="0" w:color="auto"/>
            <w:left w:val="none" w:sz="0" w:space="0" w:color="auto"/>
            <w:bottom w:val="none" w:sz="0" w:space="0" w:color="auto"/>
            <w:right w:val="none" w:sz="0" w:space="0" w:color="auto"/>
          </w:divBdr>
        </w:div>
        <w:div w:id="912927790">
          <w:marLeft w:val="0"/>
          <w:marRight w:val="0"/>
          <w:marTop w:val="0"/>
          <w:marBottom w:val="0"/>
          <w:divBdr>
            <w:top w:val="none" w:sz="0" w:space="0" w:color="auto"/>
            <w:left w:val="none" w:sz="0" w:space="0" w:color="auto"/>
            <w:bottom w:val="none" w:sz="0" w:space="0" w:color="auto"/>
            <w:right w:val="none" w:sz="0" w:space="0" w:color="auto"/>
          </w:divBdr>
        </w:div>
        <w:div w:id="2025089885">
          <w:marLeft w:val="0"/>
          <w:marRight w:val="0"/>
          <w:marTop w:val="0"/>
          <w:marBottom w:val="0"/>
          <w:divBdr>
            <w:top w:val="none" w:sz="0" w:space="0" w:color="auto"/>
            <w:left w:val="none" w:sz="0" w:space="0" w:color="auto"/>
            <w:bottom w:val="none" w:sz="0" w:space="0" w:color="auto"/>
            <w:right w:val="none" w:sz="0" w:space="0" w:color="auto"/>
          </w:divBdr>
        </w:div>
        <w:div w:id="1686323548">
          <w:marLeft w:val="0"/>
          <w:marRight w:val="0"/>
          <w:marTop w:val="0"/>
          <w:marBottom w:val="0"/>
          <w:divBdr>
            <w:top w:val="none" w:sz="0" w:space="0" w:color="auto"/>
            <w:left w:val="none" w:sz="0" w:space="0" w:color="auto"/>
            <w:bottom w:val="none" w:sz="0" w:space="0" w:color="auto"/>
            <w:right w:val="none" w:sz="0" w:space="0" w:color="auto"/>
          </w:divBdr>
        </w:div>
        <w:div w:id="155266298">
          <w:marLeft w:val="0"/>
          <w:marRight w:val="0"/>
          <w:marTop w:val="0"/>
          <w:marBottom w:val="0"/>
          <w:divBdr>
            <w:top w:val="none" w:sz="0" w:space="0" w:color="auto"/>
            <w:left w:val="none" w:sz="0" w:space="0" w:color="auto"/>
            <w:bottom w:val="none" w:sz="0" w:space="0" w:color="auto"/>
            <w:right w:val="none" w:sz="0" w:space="0" w:color="auto"/>
          </w:divBdr>
        </w:div>
        <w:div w:id="307520085">
          <w:marLeft w:val="0"/>
          <w:marRight w:val="0"/>
          <w:marTop w:val="0"/>
          <w:marBottom w:val="0"/>
          <w:divBdr>
            <w:top w:val="none" w:sz="0" w:space="0" w:color="auto"/>
            <w:left w:val="none" w:sz="0" w:space="0" w:color="auto"/>
            <w:bottom w:val="none" w:sz="0" w:space="0" w:color="auto"/>
            <w:right w:val="none" w:sz="0" w:space="0" w:color="auto"/>
          </w:divBdr>
        </w:div>
        <w:div w:id="171342529">
          <w:marLeft w:val="0"/>
          <w:marRight w:val="0"/>
          <w:marTop w:val="0"/>
          <w:marBottom w:val="0"/>
          <w:divBdr>
            <w:top w:val="none" w:sz="0" w:space="0" w:color="auto"/>
            <w:left w:val="none" w:sz="0" w:space="0" w:color="auto"/>
            <w:bottom w:val="none" w:sz="0" w:space="0" w:color="auto"/>
            <w:right w:val="none" w:sz="0" w:space="0" w:color="auto"/>
          </w:divBdr>
        </w:div>
        <w:div w:id="1487819657">
          <w:marLeft w:val="0"/>
          <w:marRight w:val="0"/>
          <w:marTop w:val="0"/>
          <w:marBottom w:val="0"/>
          <w:divBdr>
            <w:top w:val="none" w:sz="0" w:space="0" w:color="auto"/>
            <w:left w:val="none" w:sz="0" w:space="0" w:color="auto"/>
            <w:bottom w:val="none" w:sz="0" w:space="0" w:color="auto"/>
            <w:right w:val="none" w:sz="0" w:space="0" w:color="auto"/>
          </w:divBdr>
        </w:div>
      </w:divsChild>
    </w:div>
    <w:div w:id="1514800506">
      <w:bodyDiv w:val="1"/>
      <w:marLeft w:val="0"/>
      <w:marRight w:val="0"/>
      <w:marTop w:val="0"/>
      <w:marBottom w:val="0"/>
      <w:divBdr>
        <w:top w:val="none" w:sz="0" w:space="0" w:color="auto"/>
        <w:left w:val="none" w:sz="0" w:space="0" w:color="auto"/>
        <w:bottom w:val="none" w:sz="0" w:space="0" w:color="auto"/>
        <w:right w:val="none" w:sz="0" w:space="0" w:color="auto"/>
      </w:divBdr>
      <w:divsChild>
        <w:div w:id="1415860216">
          <w:marLeft w:val="0"/>
          <w:marRight w:val="0"/>
          <w:marTop w:val="15"/>
          <w:marBottom w:val="0"/>
          <w:divBdr>
            <w:top w:val="none" w:sz="0" w:space="0" w:color="auto"/>
            <w:left w:val="none" w:sz="0" w:space="0" w:color="auto"/>
            <w:bottom w:val="none" w:sz="0" w:space="0" w:color="auto"/>
            <w:right w:val="none" w:sz="0" w:space="0" w:color="auto"/>
          </w:divBdr>
          <w:divsChild>
            <w:div w:id="1601067286">
              <w:marLeft w:val="0"/>
              <w:marRight w:val="0"/>
              <w:marTop w:val="0"/>
              <w:marBottom w:val="0"/>
              <w:divBdr>
                <w:top w:val="none" w:sz="0" w:space="0" w:color="auto"/>
                <w:left w:val="none" w:sz="0" w:space="0" w:color="auto"/>
                <w:bottom w:val="none" w:sz="0" w:space="0" w:color="auto"/>
                <w:right w:val="none" w:sz="0" w:space="0" w:color="auto"/>
              </w:divBdr>
              <w:divsChild>
                <w:div w:id="149082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96890">
      <w:bodyDiv w:val="1"/>
      <w:marLeft w:val="0"/>
      <w:marRight w:val="0"/>
      <w:marTop w:val="0"/>
      <w:marBottom w:val="0"/>
      <w:divBdr>
        <w:top w:val="none" w:sz="0" w:space="0" w:color="auto"/>
        <w:left w:val="none" w:sz="0" w:space="0" w:color="auto"/>
        <w:bottom w:val="none" w:sz="0" w:space="0" w:color="auto"/>
        <w:right w:val="none" w:sz="0" w:space="0" w:color="auto"/>
      </w:divBdr>
      <w:divsChild>
        <w:div w:id="256444135">
          <w:marLeft w:val="0"/>
          <w:marRight w:val="0"/>
          <w:marTop w:val="0"/>
          <w:marBottom w:val="0"/>
          <w:divBdr>
            <w:top w:val="none" w:sz="0" w:space="0" w:color="auto"/>
            <w:left w:val="none" w:sz="0" w:space="0" w:color="auto"/>
            <w:bottom w:val="none" w:sz="0" w:space="0" w:color="auto"/>
            <w:right w:val="none" w:sz="0" w:space="0" w:color="auto"/>
          </w:divBdr>
        </w:div>
        <w:div w:id="1281957561">
          <w:marLeft w:val="0"/>
          <w:marRight w:val="0"/>
          <w:marTop w:val="0"/>
          <w:marBottom w:val="0"/>
          <w:divBdr>
            <w:top w:val="none" w:sz="0" w:space="0" w:color="auto"/>
            <w:left w:val="none" w:sz="0" w:space="0" w:color="auto"/>
            <w:bottom w:val="none" w:sz="0" w:space="0" w:color="auto"/>
            <w:right w:val="none" w:sz="0" w:space="0" w:color="auto"/>
          </w:divBdr>
        </w:div>
        <w:div w:id="782191360">
          <w:marLeft w:val="0"/>
          <w:marRight w:val="0"/>
          <w:marTop w:val="0"/>
          <w:marBottom w:val="0"/>
          <w:divBdr>
            <w:top w:val="none" w:sz="0" w:space="0" w:color="auto"/>
            <w:left w:val="none" w:sz="0" w:space="0" w:color="auto"/>
            <w:bottom w:val="none" w:sz="0" w:space="0" w:color="auto"/>
            <w:right w:val="none" w:sz="0" w:space="0" w:color="auto"/>
          </w:divBdr>
        </w:div>
        <w:div w:id="1758400094">
          <w:marLeft w:val="0"/>
          <w:marRight w:val="0"/>
          <w:marTop w:val="0"/>
          <w:marBottom w:val="0"/>
          <w:divBdr>
            <w:top w:val="none" w:sz="0" w:space="0" w:color="auto"/>
            <w:left w:val="none" w:sz="0" w:space="0" w:color="auto"/>
            <w:bottom w:val="none" w:sz="0" w:space="0" w:color="auto"/>
            <w:right w:val="none" w:sz="0" w:space="0" w:color="auto"/>
          </w:divBdr>
        </w:div>
        <w:div w:id="929123541">
          <w:marLeft w:val="0"/>
          <w:marRight w:val="0"/>
          <w:marTop w:val="0"/>
          <w:marBottom w:val="0"/>
          <w:divBdr>
            <w:top w:val="none" w:sz="0" w:space="0" w:color="auto"/>
            <w:left w:val="none" w:sz="0" w:space="0" w:color="auto"/>
            <w:bottom w:val="none" w:sz="0" w:space="0" w:color="auto"/>
            <w:right w:val="none" w:sz="0" w:space="0" w:color="auto"/>
          </w:divBdr>
        </w:div>
        <w:div w:id="638654840">
          <w:marLeft w:val="0"/>
          <w:marRight w:val="0"/>
          <w:marTop w:val="0"/>
          <w:marBottom w:val="0"/>
          <w:divBdr>
            <w:top w:val="none" w:sz="0" w:space="0" w:color="auto"/>
            <w:left w:val="none" w:sz="0" w:space="0" w:color="auto"/>
            <w:bottom w:val="none" w:sz="0" w:space="0" w:color="auto"/>
            <w:right w:val="none" w:sz="0" w:space="0" w:color="auto"/>
          </w:divBdr>
        </w:div>
        <w:div w:id="784084931">
          <w:marLeft w:val="0"/>
          <w:marRight w:val="0"/>
          <w:marTop w:val="0"/>
          <w:marBottom w:val="0"/>
          <w:divBdr>
            <w:top w:val="none" w:sz="0" w:space="0" w:color="auto"/>
            <w:left w:val="none" w:sz="0" w:space="0" w:color="auto"/>
            <w:bottom w:val="none" w:sz="0" w:space="0" w:color="auto"/>
            <w:right w:val="none" w:sz="0" w:space="0" w:color="auto"/>
          </w:divBdr>
        </w:div>
      </w:divsChild>
    </w:div>
    <w:div w:id="1648589135">
      <w:bodyDiv w:val="1"/>
      <w:marLeft w:val="0"/>
      <w:marRight w:val="0"/>
      <w:marTop w:val="0"/>
      <w:marBottom w:val="0"/>
      <w:divBdr>
        <w:top w:val="none" w:sz="0" w:space="0" w:color="auto"/>
        <w:left w:val="none" w:sz="0" w:space="0" w:color="auto"/>
        <w:bottom w:val="none" w:sz="0" w:space="0" w:color="auto"/>
        <w:right w:val="none" w:sz="0" w:space="0" w:color="auto"/>
      </w:divBdr>
    </w:div>
    <w:div w:id="1756784094">
      <w:bodyDiv w:val="1"/>
      <w:marLeft w:val="0"/>
      <w:marRight w:val="0"/>
      <w:marTop w:val="0"/>
      <w:marBottom w:val="0"/>
      <w:divBdr>
        <w:top w:val="none" w:sz="0" w:space="0" w:color="auto"/>
        <w:left w:val="none" w:sz="0" w:space="0" w:color="auto"/>
        <w:bottom w:val="none" w:sz="0" w:space="0" w:color="auto"/>
        <w:right w:val="none" w:sz="0" w:space="0" w:color="auto"/>
      </w:divBdr>
    </w:div>
    <w:div w:id="1770615508">
      <w:bodyDiv w:val="1"/>
      <w:marLeft w:val="0"/>
      <w:marRight w:val="0"/>
      <w:marTop w:val="0"/>
      <w:marBottom w:val="0"/>
      <w:divBdr>
        <w:top w:val="none" w:sz="0" w:space="0" w:color="auto"/>
        <w:left w:val="none" w:sz="0" w:space="0" w:color="auto"/>
        <w:bottom w:val="none" w:sz="0" w:space="0" w:color="auto"/>
        <w:right w:val="none" w:sz="0" w:space="0" w:color="auto"/>
      </w:divBdr>
      <w:divsChild>
        <w:div w:id="1407145049">
          <w:marLeft w:val="0"/>
          <w:marRight w:val="0"/>
          <w:marTop w:val="0"/>
          <w:marBottom w:val="0"/>
          <w:divBdr>
            <w:top w:val="none" w:sz="0" w:space="0" w:color="auto"/>
            <w:left w:val="none" w:sz="0" w:space="0" w:color="auto"/>
            <w:bottom w:val="none" w:sz="0" w:space="0" w:color="auto"/>
            <w:right w:val="none" w:sz="0" w:space="0" w:color="auto"/>
          </w:divBdr>
        </w:div>
        <w:div w:id="232862745">
          <w:marLeft w:val="0"/>
          <w:marRight w:val="0"/>
          <w:marTop w:val="0"/>
          <w:marBottom w:val="0"/>
          <w:divBdr>
            <w:top w:val="none" w:sz="0" w:space="0" w:color="auto"/>
            <w:left w:val="none" w:sz="0" w:space="0" w:color="auto"/>
            <w:bottom w:val="none" w:sz="0" w:space="0" w:color="auto"/>
            <w:right w:val="none" w:sz="0" w:space="0" w:color="auto"/>
          </w:divBdr>
        </w:div>
        <w:div w:id="1095662966">
          <w:marLeft w:val="0"/>
          <w:marRight w:val="0"/>
          <w:marTop w:val="0"/>
          <w:marBottom w:val="0"/>
          <w:divBdr>
            <w:top w:val="none" w:sz="0" w:space="0" w:color="auto"/>
            <w:left w:val="none" w:sz="0" w:space="0" w:color="auto"/>
            <w:bottom w:val="none" w:sz="0" w:space="0" w:color="auto"/>
            <w:right w:val="none" w:sz="0" w:space="0" w:color="auto"/>
          </w:divBdr>
        </w:div>
        <w:div w:id="1437627910">
          <w:marLeft w:val="0"/>
          <w:marRight w:val="0"/>
          <w:marTop w:val="0"/>
          <w:marBottom w:val="0"/>
          <w:divBdr>
            <w:top w:val="none" w:sz="0" w:space="0" w:color="auto"/>
            <w:left w:val="none" w:sz="0" w:space="0" w:color="auto"/>
            <w:bottom w:val="none" w:sz="0" w:space="0" w:color="auto"/>
            <w:right w:val="none" w:sz="0" w:space="0" w:color="auto"/>
          </w:divBdr>
        </w:div>
        <w:div w:id="2051756">
          <w:marLeft w:val="0"/>
          <w:marRight w:val="0"/>
          <w:marTop w:val="0"/>
          <w:marBottom w:val="0"/>
          <w:divBdr>
            <w:top w:val="none" w:sz="0" w:space="0" w:color="auto"/>
            <w:left w:val="none" w:sz="0" w:space="0" w:color="auto"/>
            <w:bottom w:val="none" w:sz="0" w:space="0" w:color="auto"/>
            <w:right w:val="none" w:sz="0" w:space="0" w:color="auto"/>
          </w:divBdr>
        </w:div>
        <w:div w:id="745884120">
          <w:marLeft w:val="0"/>
          <w:marRight w:val="0"/>
          <w:marTop w:val="0"/>
          <w:marBottom w:val="0"/>
          <w:divBdr>
            <w:top w:val="none" w:sz="0" w:space="0" w:color="auto"/>
            <w:left w:val="none" w:sz="0" w:space="0" w:color="auto"/>
            <w:bottom w:val="none" w:sz="0" w:space="0" w:color="auto"/>
            <w:right w:val="none" w:sz="0" w:space="0" w:color="auto"/>
          </w:divBdr>
        </w:div>
        <w:div w:id="16467633">
          <w:marLeft w:val="0"/>
          <w:marRight w:val="0"/>
          <w:marTop w:val="0"/>
          <w:marBottom w:val="0"/>
          <w:divBdr>
            <w:top w:val="none" w:sz="0" w:space="0" w:color="auto"/>
            <w:left w:val="none" w:sz="0" w:space="0" w:color="auto"/>
            <w:bottom w:val="none" w:sz="0" w:space="0" w:color="auto"/>
            <w:right w:val="none" w:sz="0" w:space="0" w:color="auto"/>
          </w:divBdr>
        </w:div>
        <w:div w:id="71199485">
          <w:marLeft w:val="0"/>
          <w:marRight w:val="0"/>
          <w:marTop w:val="0"/>
          <w:marBottom w:val="0"/>
          <w:divBdr>
            <w:top w:val="none" w:sz="0" w:space="0" w:color="auto"/>
            <w:left w:val="none" w:sz="0" w:space="0" w:color="auto"/>
            <w:bottom w:val="none" w:sz="0" w:space="0" w:color="auto"/>
            <w:right w:val="none" w:sz="0" w:space="0" w:color="auto"/>
          </w:divBdr>
        </w:div>
        <w:div w:id="425544914">
          <w:marLeft w:val="0"/>
          <w:marRight w:val="0"/>
          <w:marTop w:val="0"/>
          <w:marBottom w:val="0"/>
          <w:divBdr>
            <w:top w:val="none" w:sz="0" w:space="0" w:color="auto"/>
            <w:left w:val="none" w:sz="0" w:space="0" w:color="auto"/>
            <w:bottom w:val="none" w:sz="0" w:space="0" w:color="auto"/>
            <w:right w:val="none" w:sz="0" w:space="0" w:color="auto"/>
          </w:divBdr>
        </w:div>
        <w:div w:id="1067918350">
          <w:marLeft w:val="0"/>
          <w:marRight w:val="0"/>
          <w:marTop w:val="0"/>
          <w:marBottom w:val="0"/>
          <w:divBdr>
            <w:top w:val="none" w:sz="0" w:space="0" w:color="auto"/>
            <w:left w:val="none" w:sz="0" w:space="0" w:color="auto"/>
            <w:bottom w:val="none" w:sz="0" w:space="0" w:color="auto"/>
            <w:right w:val="none" w:sz="0" w:space="0" w:color="auto"/>
          </w:divBdr>
        </w:div>
        <w:div w:id="934553871">
          <w:marLeft w:val="0"/>
          <w:marRight w:val="0"/>
          <w:marTop w:val="0"/>
          <w:marBottom w:val="0"/>
          <w:divBdr>
            <w:top w:val="none" w:sz="0" w:space="0" w:color="auto"/>
            <w:left w:val="none" w:sz="0" w:space="0" w:color="auto"/>
            <w:bottom w:val="none" w:sz="0" w:space="0" w:color="auto"/>
            <w:right w:val="none" w:sz="0" w:space="0" w:color="auto"/>
          </w:divBdr>
        </w:div>
        <w:div w:id="806363148">
          <w:marLeft w:val="0"/>
          <w:marRight w:val="0"/>
          <w:marTop w:val="0"/>
          <w:marBottom w:val="0"/>
          <w:divBdr>
            <w:top w:val="none" w:sz="0" w:space="0" w:color="auto"/>
            <w:left w:val="none" w:sz="0" w:space="0" w:color="auto"/>
            <w:bottom w:val="none" w:sz="0" w:space="0" w:color="auto"/>
            <w:right w:val="none" w:sz="0" w:space="0" w:color="auto"/>
          </w:divBdr>
        </w:div>
        <w:div w:id="284238086">
          <w:marLeft w:val="0"/>
          <w:marRight w:val="0"/>
          <w:marTop w:val="0"/>
          <w:marBottom w:val="0"/>
          <w:divBdr>
            <w:top w:val="none" w:sz="0" w:space="0" w:color="auto"/>
            <w:left w:val="none" w:sz="0" w:space="0" w:color="auto"/>
            <w:bottom w:val="none" w:sz="0" w:space="0" w:color="auto"/>
            <w:right w:val="none" w:sz="0" w:space="0" w:color="auto"/>
          </w:divBdr>
        </w:div>
      </w:divsChild>
    </w:div>
    <w:div w:id="1805538760">
      <w:bodyDiv w:val="1"/>
      <w:marLeft w:val="0"/>
      <w:marRight w:val="0"/>
      <w:marTop w:val="0"/>
      <w:marBottom w:val="0"/>
      <w:divBdr>
        <w:top w:val="none" w:sz="0" w:space="0" w:color="auto"/>
        <w:left w:val="none" w:sz="0" w:space="0" w:color="auto"/>
        <w:bottom w:val="none" w:sz="0" w:space="0" w:color="auto"/>
        <w:right w:val="none" w:sz="0" w:space="0" w:color="auto"/>
      </w:divBdr>
      <w:divsChild>
        <w:div w:id="1960722361">
          <w:marLeft w:val="0"/>
          <w:marRight w:val="0"/>
          <w:marTop w:val="0"/>
          <w:marBottom w:val="0"/>
          <w:divBdr>
            <w:top w:val="none" w:sz="0" w:space="0" w:color="auto"/>
            <w:left w:val="none" w:sz="0" w:space="0" w:color="auto"/>
            <w:bottom w:val="none" w:sz="0" w:space="0" w:color="auto"/>
            <w:right w:val="none" w:sz="0" w:space="0" w:color="auto"/>
          </w:divBdr>
        </w:div>
        <w:div w:id="739014034">
          <w:marLeft w:val="0"/>
          <w:marRight w:val="0"/>
          <w:marTop w:val="0"/>
          <w:marBottom w:val="0"/>
          <w:divBdr>
            <w:top w:val="none" w:sz="0" w:space="0" w:color="auto"/>
            <w:left w:val="none" w:sz="0" w:space="0" w:color="auto"/>
            <w:bottom w:val="none" w:sz="0" w:space="0" w:color="auto"/>
            <w:right w:val="none" w:sz="0" w:space="0" w:color="auto"/>
          </w:divBdr>
        </w:div>
        <w:div w:id="531847304">
          <w:marLeft w:val="0"/>
          <w:marRight w:val="0"/>
          <w:marTop w:val="0"/>
          <w:marBottom w:val="0"/>
          <w:divBdr>
            <w:top w:val="none" w:sz="0" w:space="0" w:color="auto"/>
            <w:left w:val="none" w:sz="0" w:space="0" w:color="auto"/>
            <w:bottom w:val="none" w:sz="0" w:space="0" w:color="auto"/>
            <w:right w:val="none" w:sz="0" w:space="0" w:color="auto"/>
          </w:divBdr>
        </w:div>
      </w:divsChild>
    </w:div>
    <w:div w:id="1888756341">
      <w:bodyDiv w:val="1"/>
      <w:marLeft w:val="0"/>
      <w:marRight w:val="0"/>
      <w:marTop w:val="0"/>
      <w:marBottom w:val="0"/>
      <w:divBdr>
        <w:top w:val="none" w:sz="0" w:space="0" w:color="auto"/>
        <w:left w:val="none" w:sz="0" w:space="0" w:color="auto"/>
        <w:bottom w:val="none" w:sz="0" w:space="0" w:color="auto"/>
        <w:right w:val="none" w:sz="0" w:space="0" w:color="auto"/>
      </w:divBdr>
      <w:divsChild>
        <w:div w:id="1194420407">
          <w:marLeft w:val="0"/>
          <w:marRight w:val="0"/>
          <w:marTop w:val="0"/>
          <w:marBottom w:val="0"/>
          <w:divBdr>
            <w:top w:val="none" w:sz="0" w:space="0" w:color="auto"/>
            <w:left w:val="none" w:sz="0" w:space="0" w:color="auto"/>
            <w:bottom w:val="none" w:sz="0" w:space="0" w:color="auto"/>
            <w:right w:val="none" w:sz="0" w:space="0" w:color="auto"/>
          </w:divBdr>
        </w:div>
        <w:div w:id="1341587867">
          <w:marLeft w:val="0"/>
          <w:marRight w:val="0"/>
          <w:marTop w:val="0"/>
          <w:marBottom w:val="0"/>
          <w:divBdr>
            <w:top w:val="none" w:sz="0" w:space="0" w:color="auto"/>
            <w:left w:val="none" w:sz="0" w:space="0" w:color="auto"/>
            <w:bottom w:val="none" w:sz="0" w:space="0" w:color="auto"/>
            <w:right w:val="none" w:sz="0" w:space="0" w:color="auto"/>
          </w:divBdr>
        </w:div>
        <w:div w:id="523595889">
          <w:marLeft w:val="0"/>
          <w:marRight w:val="0"/>
          <w:marTop w:val="0"/>
          <w:marBottom w:val="0"/>
          <w:divBdr>
            <w:top w:val="none" w:sz="0" w:space="0" w:color="auto"/>
            <w:left w:val="none" w:sz="0" w:space="0" w:color="auto"/>
            <w:bottom w:val="none" w:sz="0" w:space="0" w:color="auto"/>
            <w:right w:val="none" w:sz="0" w:space="0" w:color="auto"/>
          </w:divBdr>
        </w:div>
        <w:div w:id="1008220002">
          <w:marLeft w:val="0"/>
          <w:marRight w:val="0"/>
          <w:marTop w:val="0"/>
          <w:marBottom w:val="0"/>
          <w:divBdr>
            <w:top w:val="none" w:sz="0" w:space="0" w:color="auto"/>
            <w:left w:val="none" w:sz="0" w:space="0" w:color="auto"/>
            <w:bottom w:val="none" w:sz="0" w:space="0" w:color="auto"/>
            <w:right w:val="none" w:sz="0" w:space="0" w:color="auto"/>
          </w:divBdr>
        </w:div>
        <w:div w:id="1355688729">
          <w:marLeft w:val="0"/>
          <w:marRight w:val="0"/>
          <w:marTop w:val="0"/>
          <w:marBottom w:val="0"/>
          <w:divBdr>
            <w:top w:val="none" w:sz="0" w:space="0" w:color="auto"/>
            <w:left w:val="none" w:sz="0" w:space="0" w:color="auto"/>
            <w:bottom w:val="none" w:sz="0" w:space="0" w:color="auto"/>
            <w:right w:val="none" w:sz="0" w:space="0" w:color="auto"/>
          </w:divBdr>
        </w:div>
      </w:divsChild>
    </w:div>
    <w:div w:id="2049598074">
      <w:bodyDiv w:val="1"/>
      <w:marLeft w:val="0"/>
      <w:marRight w:val="0"/>
      <w:marTop w:val="0"/>
      <w:marBottom w:val="0"/>
      <w:divBdr>
        <w:top w:val="none" w:sz="0" w:space="0" w:color="auto"/>
        <w:left w:val="none" w:sz="0" w:space="0" w:color="auto"/>
        <w:bottom w:val="none" w:sz="0" w:space="0" w:color="auto"/>
        <w:right w:val="none" w:sz="0" w:space="0" w:color="auto"/>
      </w:divBdr>
      <w:divsChild>
        <w:div w:id="1945917047">
          <w:marLeft w:val="0"/>
          <w:marRight w:val="0"/>
          <w:marTop w:val="0"/>
          <w:marBottom w:val="0"/>
          <w:divBdr>
            <w:top w:val="none" w:sz="0" w:space="0" w:color="auto"/>
            <w:left w:val="none" w:sz="0" w:space="0" w:color="auto"/>
            <w:bottom w:val="none" w:sz="0" w:space="0" w:color="auto"/>
            <w:right w:val="none" w:sz="0" w:space="0" w:color="auto"/>
          </w:divBdr>
        </w:div>
        <w:div w:id="657808613">
          <w:marLeft w:val="0"/>
          <w:marRight w:val="0"/>
          <w:marTop w:val="0"/>
          <w:marBottom w:val="0"/>
          <w:divBdr>
            <w:top w:val="none" w:sz="0" w:space="0" w:color="auto"/>
            <w:left w:val="none" w:sz="0" w:space="0" w:color="auto"/>
            <w:bottom w:val="none" w:sz="0" w:space="0" w:color="auto"/>
            <w:right w:val="none" w:sz="0" w:space="0" w:color="auto"/>
          </w:divBdr>
        </w:div>
        <w:div w:id="1769496695">
          <w:marLeft w:val="0"/>
          <w:marRight w:val="0"/>
          <w:marTop w:val="0"/>
          <w:marBottom w:val="0"/>
          <w:divBdr>
            <w:top w:val="none" w:sz="0" w:space="0" w:color="auto"/>
            <w:left w:val="none" w:sz="0" w:space="0" w:color="auto"/>
            <w:bottom w:val="none" w:sz="0" w:space="0" w:color="auto"/>
            <w:right w:val="none" w:sz="0" w:space="0" w:color="auto"/>
          </w:divBdr>
        </w:div>
        <w:div w:id="1229071247">
          <w:marLeft w:val="0"/>
          <w:marRight w:val="0"/>
          <w:marTop w:val="0"/>
          <w:marBottom w:val="0"/>
          <w:divBdr>
            <w:top w:val="none" w:sz="0" w:space="0" w:color="auto"/>
            <w:left w:val="none" w:sz="0" w:space="0" w:color="auto"/>
            <w:bottom w:val="none" w:sz="0" w:space="0" w:color="auto"/>
            <w:right w:val="none" w:sz="0" w:space="0" w:color="auto"/>
          </w:divBdr>
        </w:div>
        <w:div w:id="934628825">
          <w:marLeft w:val="0"/>
          <w:marRight w:val="0"/>
          <w:marTop w:val="0"/>
          <w:marBottom w:val="0"/>
          <w:divBdr>
            <w:top w:val="none" w:sz="0" w:space="0" w:color="auto"/>
            <w:left w:val="none" w:sz="0" w:space="0" w:color="auto"/>
            <w:bottom w:val="none" w:sz="0" w:space="0" w:color="auto"/>
            <w:right w:val="none" w:sz="0" w:space="0" w:color="auto"/>
          </w:divBdr>
        </w:div>
        <w:div w:id="301085746">
          <w:marLeft w:val="0"/>
          <w:marRight w:val="0"/>
          <w:marTop w:val="0"/>
          <w:marBottom w:val="0"/>
          <w:divBdr>
            <w:top w:val="none" w:sz="0" w:space="0" w:color="auto"/>
            <w:left w:val="none" w:sz="0" w:space="0" w:color="auto"/>
            <w:bottom w:val="none" w:sz="0" w:space="0" w:color="auto"/>
            <w:right w:val="none" w:sz="0" w:space="0" w:color="auto"/>
          </w:divBdr>
        </w:div>
      </w:divsChild>
    </w:div>
    <w:div w:id="2123720368">
      <w:bodyDiv w:val="1"/>
      <w:marLeft w:val="0"/>
      <w:marRight w:val="0"/>
      <w:marTop w:val="0"/>
      <w:marBottom w:val="0"/>
      <w:divBdr>
        <w:top w:val="none" w:sz="0" w:space="0" w:color="auto"/>
        <w:left w:val="none" w:sz="0" w:space="0" w:color="auto"/>
        <w:bottom w:val="none" w:sz="0" w:space="0" w:color="auto"/>
        <w:right w:val="none" w:sz="0" w:space="0" w:color="auto"/>
      </w:divBdr>
      <w:divsChild>
        <w:div w:id="286006876">
          <w:marLeft w:val="0"/>
          <w:marRight w:val="0"/>
          <w:marTop w:val="0"/>
          <w:marBottom w:val="0"/>
          <w:divBdr>
            <w:top w:val="none" w:sz="0" w:space="0" w:color="auto"/>
            <w:left w:val="none" w:sz="0" w:space="0" w:color="auto"/>
            <w:bottom w:val="none" w:sz="0" w:space="0" w:color="auto"/>
            <w:right w:val="none" w:sz="0" w:space="0" w:color="auto"/>
          </w:divBdr>
        </w:div>
        <w:div w:id="1015695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tt/url?sa=t&amp;rct=j&amp;q=&amp;esrc=s&amp;source=web&amp;cd=2&amp;cad=rja&amp;uact=8&amp;ved=0ahUKEwjC_P_i587KAhXCdx4KHV6TCs4QFggmMAE&amp;url=http%3A%2F%2Fwww.corteidh.or.cr%2Fdocs%2Fcasos%2Farticulos%2Fseriec_167_ing.pdf&amp;usg=AFQjCNHrMcUCvR90V6uuwaXBAkPF7mmMoA&amp;sig2=87a9Ie5G-FwwxwAb7cfsmQ&amp;bvm=bv.113034660,d.dm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tt/url?sa=t&amp;rct=j&amp;q=&amp;esrc=s&amp;source=web&amp;cd=2&amp;cad=rja&amp;uact=8&amp;ved=0ahUKEwjC_P_i587KAhXCdx4KHV6TCs4QFggmMAE&amp;url=http%3A%2F%2Fwww.corteidh.or.cr%2Fdocs%2Fcasos%2Farticulos%2Fseriec_167_ing.pdf&amp;usg=AFQjCNHrMcUCvR90V6uuwaXBAkPF7mmMoA&amp;sig2=87a9Ie5G-FwwxwAb7cfsmQ&amp;bvm=bv.113034660,d.dm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yulawglobal.org/globalex/Amparo.html%3e%20acces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06A23-139E-4FAC-B6DA-713F19F8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9262</Words>
  <Characters>52798</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Inter-American HR Moot Court Competition</cp:lastModifiedBy>
  <cp:revision>2</cp:revision>
  <dcterms:created xsi:type="dcterms:W3CDTF">2017-09-21T15:43:00Z</dcterms:created>
  <dcterms:modified xsi:type="dcterms:W3CDTF">2017-09-21T15:43:00Z</dcterms:modified>
</cp:coreProperties>
</file>