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  <w:shd w:val="clear" w:color="auto" w:fill="FFFF00"/>
        </w:rPr>
      </w:pPr>
      <w:bookmarkStart w:id="0" w:name="_GoBack"/>
      <w:bookmarkEnd w:id="0"/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  <w:shd w:val="clear" w:color="auto" w:fill="FFFF00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</w:pPr>
    </w:p>
    <w:p w:rsidR="006A4E71" w:rsidRPr="00744F6B" w:rsidRDefault="006A4E71" w:rsidP="00744F6B">
      <w:pPr>
        <w:suppressLineNumbers/>
        <w:jc w:val="center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Caso Cristal Tovar v. República Democrática de Exclutia</w:t>
      </w:r>
    </w:p>
    <w:p w:rsidR="007D4F77" w:rsidRPr="00744F6B" w:rsidRDefault="007D4F77" w:rsidP="00744F6B">
      <w:pPr>
        <w:suppressLineNumbers/>
        <w:jc w:val="center"/>
        <w:rPr>
          <w:rFonts w:ascii="Times New Roman" w:hAnsi="Times New Roman" w:cs="Times New Roman"/>
        </w:rPr>
      </w:pPr>
    </w:p>
    <w:p w:rsidR="00BF1F10" w:rsidRPr="00744F6B" w:rsidRDefault="006A4E71" w:rsidP="00744F6B">
      <w:pPr>
        <w:suppressLineNumbers/>
        <w:spacing w:line="480" w:lineRule="auto"/>
        <w:jc w:val="center"/>
        <w:rPr>
          <w:rFonts w:ascii="Times New Roman" w:hAnsi="Times New Roman" w:cs="Times New Roman"/>
        </w:rPr>
        <w:sectPr w:rsidR="00BF1F10" w:rsidRPr="00744F6B" w:rsidSect="00552B58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44F6B">
        <w:rPr>
          <w:rFonts w:ascii="Times New Roman" w:hAnsi="Times New Roman" w:cs="Times New Roman"/>
        </w:rPr>
        <w:t>MEMORIAL DOS REPRESENTANTES DAS VÍTIMAS</w:t>
      </w:r>
    </w:p>
    <w:p w:rsidR="006A4E71" w:rsidRPr="00744F6B" w:rsidRDefault="006A4E71" w:rsidP="003E78E7">
      <w:pPr>
        <w:suppressLineNumbers/>
        <w:spacing w:after="200" w:line="480" w:lineRule="auto"/>
        <w:jc w:val="center"/>
        <w:rPr>
          <w:rFonts w:ascii="Times New Roman" w:hAnsi="Times New Roman" w:cs="Times New Roman"/>
          <w:b/>
        </w:rPr>
      </w:pPr>
      <w:r w:rsidRPr="00744F6B">
        <w:rPr>
          <w:rFonts w:ascii="Times New Roman" w:hAnsi="Times New Roman" w:cs="Times New Roman"/>
          <w:b/>
        </w:rPr>
        <w:lastRenderedPageBreak/>
        <w:t>ÍNDICE</w:t>
      </w:r>
    </w:p>
    <w:p w:rsidR="00E07E76" w:rsidRPr="00744F6B" w:rsidRDefault="00E07E76" w:rsidP="001E3B82">
      <w:pPr>
        <w:suppressLineNumbers/>
        <w:spacing w:line="480" w:lineRule="auto"/>
        <w:jc w:val="both"/>
        <w:rPr>
          <w:rFonts w:ascii="Times New Roman" w:hAnsi="Times New Roman" w:cs="Times New Roman"/>
        </w:rPr>
      </w:pPr>
    </w:p>
    <w:p w:rsidR="00DC277C" w:rsidRDefault="002B62D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bidi="ar-SA"/>
        </w:rPr>
      </w:pPr>
      <w:r w:rsidRPr="00744F6B">
        <w:rPr>
          <w:b w:val="0"/>
          <w:szCs w:val="24"/>
        </w:rPr>
        <w:fldChar w:fldCharType="begin"/>
      </w:r>
      <w:r w:rsidR="007D119C" w:rsidRPr="00744F6B">
        <w:rPr>
          <w:b w:val="0"/>
          <w:szCs w:val="24"/>
        </w:rPr>
        <w:instrText xml:space="preserve"> TOC \o "1-3" \h \z \u </w:instrText>
      </w:r>
      <w:r w:rsidRPr="00744F6B">
        <w:rPr>
          <w:b w:val="0"/>
          <w:szCs w:val="24"/>
        </w:rPr>
        <w:fldChar w:fldCharType="separate"/>
      </w:r>
      <w:hyperlink w:anchor="_Toc383412266" w:history="1">
        <w:r w:rsidR="00DC277C" w:rsidRPr="00EE134B">
          <w:rPr>
            <w:rStyle w:val="Hyperlink"/>
            <w:noProof/>
          </w:rPr>
          <w:t>ÍNDICE DE AUTORIDADES</w:t>
        </w:r>
        <w:r w:rsidR="00DC2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C277C" w:rsidRDefault="005563C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bidi="ar-SA"/>
        </w:rPr>
      </w:pPr>
      <w:hyperlink w:anchor="_Toc383412267" w:history="1">
        <w:r w:rsidR="00DC277C" w:rsidRPr="00EE134B">
          <w:rPr>
            <w:rStyle w:val="Hyperlink"/>
            <w:noProof/>
          </w:rPr>
          <w:t>LISTA DE SIGLAS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_Toc383412267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8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bidi="ar-SA"/>
        </w:rPr>
      </w:pPr>
      <w:hyperlink w:anchor="_Toc383412268" w:history="1">
        <w:r w:rsidR="00DC277C" w:rsidRPr="00EE134B">
          <w:rPr>
            <w:rStyle w:val="Hyperlink"/>
            <w:noProof/>
          </w:rPr>
          <w:t>1 DECLARAÇÃO DOS FATOS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_Toc383412268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10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bidi="ar-SA"/>
        </w:rPr>
      </w:pPr>
      <w:hyperlink w:anchor="_Toc383412269" w:history="1">
        <w:r w:rsidR="00DC277C" w:rsidRPr="00EE134B">
          <w:rPr>
            <w:rStyle w:val="Hyperlink"/>
            <w:noProof/>
          </w:rPr>
          <w:t>2 ANÁLISE LEGAL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_Toc383412269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14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0" w:history="1">
        <w:r w:rsidR="00DC277C" w:rsidRPr="00EE134B">
          <w:rPr>
            <w:rStyle w:val="Hyperlink"/>
            <w:rFonts w:cs="Times New Roman"/>
            <w:noProof/>
          </w:rPr>
          <w:t>2.1 DA CONCESSÃO DA MEDIDA PROVISÓRIA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_Toc383412270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14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1" w:history="1">
        <w:r w:rsidR="00DC277C" w:rsidRPr="00EE134B">
          <w:rPr>
            <w:rStyle w:val="Hyperlink"/>
            <w:rFonts w:cs="Times New Roman"/>
            <w:noProof/>
          </w:rPr>
          <w:t>2.2 DA ADMISSIBILIDADE DO CASO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_Toc383412271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15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2" w:history="1">
        <w:r w:rsidR="00DC277C" w:rsidRPr="00EE134B">
          <w:rPr>
            <w:rStyle w:val="Hyperlink"/>
            <w:rFonts w:cs="Times New Roman"/>
            <w:noProof/>
          </w:rPr>
          <w:t>2.3 DO DESENVOLVIMENTO PROGRESSIVO DA PROMOÇÃO DOS DIREITOS HUMANOS E DA IGUALDADE RELACIONADO COM O DEVER DO ESTADO DE ADOTAR DISPOSIÇÕES DE DIREITO INTERNO – ARTS. 2º, 24 E 26 DA CADH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_Toc383412272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18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3" w:history="1">
        <w:r w:rsidR="00DC277C" w:rsidRPr="00EE134B">
          <w:rPr>
            <w:rStyle w:val="Hyperlink"/>
            <w:rFonts w:cs="Times New Roman"/>
            <w:noProof/>
          </w:rPr>
          <w:t>2.4</w:t>
        </w:r>
        <w:r w:rsidR="00DC277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pt-BR" w:bidi="ar-SA"/>
          </w:rPr>
          <w:tab/>
        </w:r>
        <w:r w:rsidR="00DC277C" w:rsidRPr="00EE134B">
          <w:rPr>
            <w:rStyle w:val="Hyperlink"/>
            <w:rFonts w:cs="Times New Roman"/>
            <w:noProof/>
          </w:rPr>
          <w:t>DAS VIOLAÇÕES DOS ARTS. 5°, 7º, 11 E 24 DA CADH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_Toc383412273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21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4" w:history="1">
        <w:r w:rsidR="00DC277C" w:rsidRPr="00EE134B">
          <w:rPr>
            <w:rStyle w:val="Hyperlink"/>
            <w:rFonts w:cs="Times New Roman"/>
            <w:noProof/>
          </w:rPr>
          <w:t>2.4.1 Tortura, Tratamento Cruel, Desumano e Degradante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_Toc383412274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21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5" w:history="1">
        <w:r w:rsidR="00DC277C" w:rsidRPr="00EE134B">
          <w:rPr>
            <w:rStyle w:val="Hyperlink"/>
            <w:rFonts w:cs="Times New Roman"/>
            <w:noProof/>
          </w:rPr>
          <w:t>2.4.2 Da Ausência de Consentimento e Dos Direitos Reprodutivos Violados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_Toc383412275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25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6" w:history="1">
        <w:r w:rsidR="00DC277C" w:rsidRPr="00EE134B">
          <w:rPr>
            <w:rStyle w:val="Hyperlink"/>
            <w:rFonts w:cs="Times New Roman"/>
            <w:noProof/>
          </w:rPr>
          <w:t>2.5 DO CONTROLE DE CONVENCIONALIDADE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_Toc383412276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29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7" w:history="1">
        <w:r w:rsidR="00DC277C" w:rsidRPr="00EE134B">
          <w:rPr>
            <w:rStyle w:val="Hyperlink"/>
            <w:rFonts w:cs="Times New Roman"/>
            <w:noProof/>
          </w:rPr>
          <w:t>2.5.1 Da Violação da Convencionalidade em Relação às Garantias e Proteções Judiciais – arts. 1.1, 2º, 8.1 e 25.1 da CADH e art. 27 da CVDT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_Toc383412277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29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3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8" w:history="1">
        <w:r w:rsidR="00DC277C" w:rsidRPr="00EE134B">
          <w:rPr>
            <w:rStyle w:val="Hyperlink"/>
            <w:rFonts w:cs="Times New Roman"/>
            <w:noProof/>
          </w:rPr>
          <w:t>2.5.2 Da Violação da Convencionalidade em Relação ao Direito ao Reconhecimento da Personalidade Jurídica – arts. 1.1, 2º e 3º da CADH e art. 27 DA CVDT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_Toc383412278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31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pt-BR" w:bidi="ar-SA"/>
        </w:rPr>
      </w:pPr>
      <w:hyperlink w:anchor="_Toc383412279" w:history="1">
        <w:r w:rsidR="00DC277C" w:rsidRPr="00EE134B">
          <w:rPr>
            <w:rStyle w:val="Hyperlink"/>
            <w:rFonts w:cs="Times New Roman"/>
            <w:noProof/>
          </w:rPr>
          <w:t>2.6 DAS REPARAÇÕES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_Toc383412279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32</w:t>
        </w:r>
        <w:r w:rsidR="002B62D4">
          <w:rPr>
            <w:noProof/>
            <w:webHidden/>
          </w:rPr>
          <w:fldChar w:fldCharType="end"/>
        </w:r>
      </w:hyperlink>
    </w:p>
    <w:p w:rsidR="00DC277C" w:rsidRDefault="005563C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bidi="ar-SA"/>
        </w:rPr>
      </w:pPr>
      <w:hyperlink w:anchor="_Toc383412280" w:history="1">
        <w:r w:rsidR="00DC277C" w:rsidRPr="00EE134B">
          <w:rPr>
            <w:rStyle w:val="Hyperlink"/>
            <w:noProof/>
          </w:rPr>
          <w:t>3 SOLICITAÇÃO DE ASSISTÊNCIA</w:t>
        </w:r>
        <w:r w:rsidR="00DC277C">
          <w:rPr>
            <w:noProof/>
            <w:webHidden/>
          </w:rPr>
          <w:tab/>
        </w:r>
        <w:r w:rsidR="002B62D4">
          <w:rPr>
            <w:noProof/>
            <w:webHidden/>
          </w:rPr>
          <w:fldChar w:fldCharType="begin"/>
        </w:r>
        <w:r w:rsidR="00DC277C">
          <w:rPr>
            <w:noProof/>
            <w:webHidden/>
          </w:rPr>
          <w:instrText xml:space="preserve"> PAGEREF _Toc383412280 \h </w:instrText>
        </w:r>
        <w:r w:rsidR="002B62D4">
          <w:rPr>
            <w:noProof/>
            <w:webHidden/>
          </w:rPr>
        </w:r>
        <w:r w:rsidR="002B62D4">
          <w:rPr>
            <w:noProof/>
            <w:webHidden/>
          </w:rPr>
          <w:fldChar w:fldCharType="separate"/>
        </w:r>
        <w:r w:rsidR="00DC277C">
          <w:rPr>
            <w:noProof/>
            <w:webHidden/>
          </w:rPr>
          <w:t>35</w:t>
        </w:r>
        <w:r w:rsidR="002B62D4">
          <w:rPr>
            <w:noProof/>
            <w:webHidden/>
          </w:rPr>
          <w:fldChar w:fldCharType="end"/>
        </w:r>
      </w:hyperlink>
    </w:p>
    <w:p w:rsidR="006A4E71" w:rsidRPr="00744F6B" w:rsidRDefault="002B62D4" w:rsidP="003E78E7">
      <w:pPr>
        <w:pStyle w:val="Estilo1"/>
        <w:spacing w:before="0"/>
        <w:jc w:val="center"/>
        <w:rPr>
          <w:rFonts w:cs="Times New Roman"/>
          <w:szCs w:val="24"/>
        </w:rPr>
      </w:pPr>
      <w:r w:rsidRPr="00744F6B">
        <w:rPr>
          <w:rFonts w:cs="Times New Roman"/>
          <w:b w:val="0"/>
          <w:szCs w:val="24"/>
          <w:lang w:eastAsia="pt-BR"/>
        </w:rPr>
        <w:fldChar w:fldCharType="end"/>
      </w:r>
      <w:r w:rsidR="00E07E76" w:rsidRPr="00744F6B">
        <w:rPr>
          <w:rFonts w:cs="Times New Roman"/>
          <w:szCs w:val="24"/>
        </w:rPr>
        <w:br w:type="page"/>
      </w:r>
      <w:bookmarkStart w:id="1" w:name="_Toc383412266"/>
      <w:r w:rsidR="006A4E71" w:rsidRPr="00744F6B">
        <w:rPr>
          <w:rFonts w:cs="Times New Roman"/>
          <w:szCs w:val="24"/>
        </w:rPr>
        <w:lastRenderedPageBreak/>
        <w:t>ÍNDICE DE AUTORIDADES</w:t>
      </w:r>
      <w:bookmarkEnd w:id="1"/>
    </w:p>
    <w:p w:rsidR="003E78E7" w:rsidRDefault="003E78E7" w:rsidP="003E78E7">
      <w:pPr>
        <w:pStyle w:val="TOAHeading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LISTA</w:t>
      </w:r>
      <w:r w:rsidRPr="003E78E7">
        <w:rPr>
          <w:noProof/>
        </w:rPr>
        <w:t xml:space="preserve"> DE LIVROS E ARTIGOS JURÍDICOS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BRASIL. Ministério da Saúde. </w:t>
      </w:r>
      <w:r w:rsidRPr="00392DE0">
        <w:rPr>
          <w:rFonts w:cs="Times New Roman"/>
          <w:b/>
          <w:noProof/>
        </w:rPr>
        <w:t>Direito</w:t>
      </w:r>
      <w:r w:rsidR="006A6EB3">
        <w:rPr>
          <w:rFonts w:cs="Times New Roman"/>
          <w:b/>
          <w:noProof/>
        </w:rPr>
        <w:t>s</w:t>
      </w:r>
      <w:r w:rsidRPr="00392DE0">
        <w:rPr>
          <w:rFonts w:cs="Times New Roman"/>
          <w:b/>
          <w:noProof/>
        </w:rPr>
        <w:t xml:space="preserve"> sexuais e reprodutivos na integralidade da atenção à saúde de pessoas com deficiência</w:t>
      </w:r>
      <w:r>
        <w:rPr>
          <w:noProof/>
        </w:rPr>
        <w:tab/>
        <w:t>28</w:t>
      </w:r>
    </w:p>
    <w:p w:rsidR="003E78E7" w:rsidRPr="00D86445" w:rsidRDefault="003E78E7" w:rsidP="003E78E7">
      <w:pPr>
        <w:pStyle w:val="TableofAuthorities"/>
        <w:tabs>
          <w:tab w:val="right" w:leader="dot" w:pos="9350"/>
        </w:tabs>
        <w:rPr>
          <w:noProof/>
          <w:lang w:val="en-US"/>
        </w:rPr>
      </w:pPr>
      <w:r w:rsidRPr="00D86445">
        <w:rPr>
          <w:rFonts w:cs="Times New Roman"/>
          <w:noProof/>
          <w:lang w:val="en-US"/>
        </w:rPr>
        <w:t xml:space="preserve">CEDAW. </w:t>
      </w:r>
      <w:r w:rsidRPr="00D86445">
        <w:rPr>
          <w:rFonts w:cs="Times New Roman"/>
          <w:b/>
          <w:i/>
          <w:iCs/>
          <w:noProof/>
          <w:lang w:val="en-US"/>
        </w:rPr>
        <w:t>Concluding observations of the Committee on the Elimination of Discrimination Against Women: Australia</w:t>
      </w:r>
      <w:r w:rsidRPr="00D86445">
        <w:rPr>
          <w:noProof/>
          <w:lang w:val="en-US"/>
        </w:rPr>
        <w:tab/>
        <w:t>28</w:t>
      </w:r>
    </w:p>
    <w:p w:rsidR="003E78E7" w:rsidRPr="003E78E7" w:rsidRDefault="003E78E7" w:rsidP="003E78E7">
      <w:pPr>
        <w:pStyle w:val="TableofAuthorities"/>
        <w:tabs>
          <w:tab w:val="right" w:leader="dot" w:pos="9350"/>
        </w:tabs>
        <w:rPr>
          <w:noProof/>
          <w:lang w:val="en-US"/>
        </w:rPr>
      </w:pPr>
      <w:r w:rsidRPr="00D86445">
        <w:rPr>
          <w:rFonts w:cs="Times New Roman"/>
          <w:noProof/>
          <w:lang w:val="en-US"/>
        </w:rPr>
        <w:t xml:space="preserve">CEDAW. </w:t>
      </w:r>
      <w:r w:rsidRPr="006A6EB3">
        <w:rPr>
          <w:rFonts w:cs="Times New Roman"/>
          <w:b/>
          <w:i/>
          <w:iCs/>
          <w:noProof/>
          <w:lang w:val="en-US"/>
        </w:rPr>
        <w:t>Genera</w:t>
      </w:r>
      <w:r w:rsidRPr="00392DE0">
        <w:rPr>
          <w:rFonts w:cs="Times New Roman"/>
          <w:b/>
          <w:i/>
          <w:iCs/>
          <w:noProof/>
          <w:lang w:val="en-US"/>
        </w:rPr>
        <w:t>l recommendation No. 24: Article 12 of the Convention (women and health)</w:t>
      </w:r>
      <w:r w:rsidRPr="003E78E7">
        <w:rPr>
          <w:noProof/>
          <w:lang w:val="en-US"/>
        </w:rPr>
        <w:tab/>
        <w:t>28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E78E7">
        <w:rPr>
          <w:rFonts w:cs="Times New Roman"/>
          <w:noProof/>
        </w:rPr>
        <w:t xml:space="preserve">CoDESC. </w:t>
      </w:r>
      <w:r w:rsidRPr="00392DE0">
        <w:rPr>
          <w:rFonts w:cs="Times New Roman"/>
          <w:b/>
          <w:noProof/>
        </w:rPr>
        <w:t>Observação Geral No. 5</w:t>
      </w:r>
      <w:r>
        <w:rPr>
          <w:noProof/>
        </w:rPr>
        <w:tab/>
        <w:t>20</w:t>
      </w:r>
    </w:p>
    <w:p w:rsidR="00390E7A" w:rsidRDefault="00390E7A" w:rsidP="00390E7A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CrIDH. </w:t>
      </w:r>
      <w:r w:rsidRPr="00392DE0">
        <w:rPr>
          <w:rFonts w:cs="Times New Roman"/>
          <w:b/>
          <w:noProof/>
        </w:rPr>
        <w:t>Opinião Consultiva OC-9/87</w:t>
      </w:r>
      <w:r>
        <w:rPr>
          <w:noProof/>
        </w:rPr>
        <w:tab/>
        <w:t>30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CrIDH. </w:t>
      </w:r>
      <w:r w:rsidRPr="00392DE0">
        <w:rPr>
          <w:rFonts w:cs="Times New Roman"/>
          <w:b/>
          <w:noProof/>
        </w:rPr>
        <w:t xml:space="preserve">Opinião Consultiva </w:t>
      </w:r>
      <w:r w:rsidR="00390E7A">
        <w:rPr>
          <w:rFonts w:cs="Times New Roman"/>
          <w:b/>
          <w:noProof/>
        </w:rPr>
        <w:t>OC-</w:t>
      </w:r>
      <w:r w:rsidRPr="00392DE0">
        <w:rPr>
          <w:rFonts w:cs="Times New Roman"/>
          <w:b/>
          <w:noProof/>
        </w:rPr>
        <w:t>17/02</w:t>
      </w:r>
      <w:r>
        <w:rPr>
          <w:noProof/>
        </w:rPr>
        <w:tab/>
        <w:t>32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CrIDH. </w:t>
      </w:r>
      <w:r w:rsidRPr="00392DE0">
        <w:rPr>
          <w:rFonts w:cs="Times New Roman"/>
          <w:b/>
          <w:noProof/>
        </w:rPr>
        <w:t>Opinião Consultiva OC-19/05</w:t>
      </w:r>
      <w:r>
        <w:rPr>
          <w:noProof/>
        </w:rPr>
        <w:tab/>
        <w:t>18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OMS. Comissão de Saúde Mental e Prevenção de Abuso de Substâncias. </w:t>
      </w:r>
      <w:r w:rsidRPr="00392DE0">
        <w:rPr>
          <w:rFonts w:cs="Times New Roman"/>
          <w:b/>
          <w:noProof/>
        </w:rPr>
        <w:t>Dez Princípios Básicos das Normas para a Atenção da Saúde Mental (1996)</w:t>
      </w:r>
      <w:r>
        <w:rPr>
          <w:noProof/>
        </w:rPr>
        <w:tab/>
        <w:t>23, 25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ONU. Comitê contra a Tortura, </w:t>
      </w:r>
      <w:r w:rsidRPr="00392DE0">
        <w:rPr>
          <w:rFonts w:cs="Times New Roman"/>
          <w:b/>
          <w:noProof/>
        </w:rPr>
        <w:t>Comentário No. 2</w:t>
      </w:r>
      <w:r>
        <w:rPr>
          <w:noProof/>
        </w:rPr>
        <w:tab/>
        <w:t>25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ONU. Comitê sobre Direitos das Pessoas Deficientes. </w:t>
      </w:r>
      <w:r w:rsidRPr="00392DE0">
        <w:rPr>
          <w:rFonts w:cs="Times New Roman"/>
          <w:b/>
          <w:noProof/>
        </w:rPr>
        <w:t>Conclusão das observações iniciais sobre o Relatório da China, adotado pelo Comitê na 8ª Sessão (17–28/9/2012)</w:t>
      </w:r>
      <w:r>
        <w:rPr>
          <w:noProof/>
        </w:rPr>
        <w:tab/>
        <w:t>25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ONU. Conselho de Direitos Humanos. </w:t>
      </w:r>
      <w:r w:rsidRPr="00392DE0">
        <w:rPr>
          <w:rFonts w:cs="Times New Roman"/>
          <w:b/>
          <w:noProof/>
        </w:rPr>
        <w:t>Relator Especial sobre a tortura e outros tratamentos ou penas cruéis, desumanos ou degradantes, Juan E. Méndez (</w:t>
      </w:r>
      <w:r w:rsidRPr="00392DE0">
        <w:rPr>
          <w:rFonts w:cs="Times New Roman"/>
          <w:b/>
          <w:bCs/>
          <w:noProof/>
        </w:rPr>
        <w:t>A/HRC/22/53)</w:t>
      </w:r>
      <w:r>
        <w:rPr>
          <w:noProof/>
        </w:rPr>
        <w:tab/>
        <w:t>23, 25</w:t>
      </w:r>
    </w:p>
    <w:p w:rsidR="00CE215D" w:rsidRDefault="00CE215D" w:rsidP="00CE215D">
      <w:pPr>
        <w:pStyle w:val="TableofAuthorities"/>
        <w:tabs>
          <w:tab w:val="right" w:leader="dot" w:pos="9350"/>
        </w:tabs>
        <w:rPr>
          <w:noProof/>
        </w:rPr>
      </w:pPr>
      <w:r w:rsidRPr="00D86445">
        <w:rPr>
          <w:rFonts w:cs="Times New Roman"/>
          <w:noProof/>
        </w:rPr>
        <w:t xml:space="preserve">ONU. </w:t>
      </w:r>
      <w:r w:rsidRPr="003E78E7">
        <w:rPr>
          <w:rFonts w:cs="Times New Roman"/>
          <w:noProof/>
        </w:rPr>
        <w:t xml:space="preserve">Conselho de Direitos Humanos. </w:t>
      </w:r>
      <w:r w:rsidRPr="003E78E7">
        <w:rPr>
          <w:rFonts w:cs="Times New Roman"/>
          <w:b/>
          <w:noProof/>
        </w:rPr>
        <w:t>Relator Especial sobre a tortura e outros tratamentos ou penas cruéis, desumanos ou degradantes</w:t>
      </w:r>
      <w:r w:rsidRPr="00D86445">
        <w:rPr>
          <w:rFonts w:cs="Times New Roman"/>
          <w:b/>
          <w:noProof/>
        </w:rPr>
        <w:t>, Manfred Nowak (</w:t>
      </w:r>
      <w:r w:rsidRPr="003E78E7">
        <w:rPr>
          <w:rFonts w:cs="Times New Roman"/>
          <w:b/>
          <w:noProof/>
        </w:rPr>
        <w:t>A/HRC/7/3</w:t>
      </w:r>
      <w:r w:rsidRPr="003E78E7">
        <w:rPr>
          <w:rFonts w:cs="Times New Roman"/>
          <w:noProof/>
        </w:rPr>
        <w:t>)</w:t>
      </w:r>
      <w:r>
        <w:rPr>
          <w:noProof/>
        </w:rPr>
        <w:tab/>
        <w:t>26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D86445">
        <w:rPr>
          <w:rFonts w:cs="Times New Roman"/>
          <w:noProof/>
        </w:rPr>
        <w:t>ONU.</w:t>
      </w:r>
      <w:r w:rsidRPr="00D86445">
        <w:rPr>
          <w:rFonts w:cs="Times New Roman"/>
          <w:noProof/>
          <w:color w:val="FF0000"/>
        </w:rPr>
        <w:t xml:space="preserve"> </w:t>
      </w:r>
      <w:r w:rsidRPr="00392DE0">
        <w:rPr>
          <w:rFonts w:cs="Times New Roman"/>
          <w:noProof/>
        </w:rPr>
        <w:t xml:space="preserve">Conselho de Direitos Humanos. </w:t>
      </w:r>
      <w:r w:rsidRPr="00392DE0">
        <w:rPr>
          <w:rFonts w:cs="Times New Roman"/>
          <w:b/>
          <w:noProof/>
        </w:rPr>
        <w:t>Relator Especial sobre a tortura e outros tratamentos ou penas cruéis, desumanos ou degradantes</w:t>
      </w:r>
      <w:r w:rsidRPr="00D86445">
        <w:rPr>
          <w:rFonts w:cs="Times New Roman"/>
          <w:b/>
          <w:noProof/>
        </w:rPr>
        <w:t>, Manfred Nowak (A/HRC/13/39)</w:t>
      </w:r>
      <w:r>
        <w:rPr>
          <w:noProof/>
        </w:rPr>
        <w:tab/>
        <w:t>22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lastRenderedPageBreak/>
        <w:t xml:space="preserve">ONU. Conselho de Direitos Humanos. </w:t>
      </w:r>
      <w:r w:rsidRPr="00392DE0">
        <w:rPr>
          <w:rFonts w:cs="Times New Roman"/>
          <w:b/>
          <w:noProof/>
        </w:rPr>
        <w:t>Relatório do Relator Especial sobre a tortura e outros tratamentos ou penas cruéis, desumanos ou degradantes (A/63/175)</w:t>
      </w:r>
      <w:r>
        <w:rPr>
          <w:noProof/>
        </w:rPr>
        <w:tab/>
        <w:t>24, 25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ONU. Conselho de Direitos Humanos. </w:t>
      </w:r>
      <w:r w:rsidRPr="00392DE0">
        <w:rPr>
          <w:rFonts w:cs="Times New Roman"/>
          <w:b/>
          <w:bCs/>
          <w:noProof/>
        </w:rPr>
        <w:t>Relatório do Relator Especial sobre o direito de toda pessoa de desfrutar o mais elevado nível possível de saúde física e mental (A/64/272)</w:t>
      </w:r>
      <w:r>
        <w:rPr>
          <w:noProof/>
        </w:rPr>
        <w:tab/>
        <w:t>25, 26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ONU. </w:t>
      </w:r>
      <w:r w:rsidRPr="00392DE0">
        <w:rPr>
          <w:rFonts w:cs="Times New Roman"/>
          <w:b/>
          <w:noProof/>
        </w:rPr>
        <w:t>Relatório da Conferência Internacional sobre População e Desenvolvimento (1994)</w:t>
      </w:r>
      <w:r>
        <w:rPr>
          <w:noProof/>
        </w:rPr>
        <w:tab/>
        <w:t>28</w:t>
      </w:r>
    </w:p>
    <w:p w:rsidR="003E78E7" w:rsidRPr="003E78E7" w:rsidRDefault="003E78E7" w:rsidP="003E78E7">
      <w:pPr>
        <w:pStyle w:val="TableofAuthorities"/>
        <w:tabs>
          <w:tab w:val="right" w:leader="dot" w:pos="9350"/>
        </w:tabs>
        <w:rPr>
          <w:noProof/>
          <w:lang w:val="en-US"/>
        </w:rPr>
      </w:pPr>
      <w:r w:rsidRPr="00392DE0">
        <w:rPr>
          <w:rFonts w:cs="Times New Roman"/>
          <w:noProof/>
          <w:lang w:val="en-US"/>
        </w:rPr>
        <w:t xml:space="preserve">PERALTA, Ariela. Painel 1: </w:t>
      </w:r>
      <w:r w:rsidRPr="00392DE0">
        <w:rPr>
          <w:rFonts w:cs="Times New Roman"/>
          <w:b/>
          <w:noProof/>
          <w:lang w:val="en-US"/>
        </w:rPr>
        <w:t>Promoting Safeguards through Detention Visits</w:t>
      </w:r>
      <w:r w:rsidRPr="003E78E7">
        <w:rPr>
          <w:noProof/>
          <w:lang w:val="en-US"/>
        </w:rPr>
        <w:tab/>
        <w:t>21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PIOVESAN, Flávia. </w:t>
      </w:r>
      <w:r w:rsidRPr="00392DE0">
        <w:rPr>
          <w:rFonts w:cs="Times New Roman"/>
          <w:b/>
          <w:noProof/>
        </w:rPr>
        <w:t>Direitos humanos e o direito constitucional internacional</w:t>
      </w:r>
      <w:r>
        <w:rPr>
          <w:noProof/>
        </w:rPr>
        <w:tab/>
        <w:t>19</w:t>
      </w:r>
    </w:p>
    <w:p w:rsidR="003E78E7" w:rsidRDefault="003E78E7" w:rsidP="003E78E7">
      <w:pPr>
        <w:pStyle w:val="TableofAuthorities"/>
        <w:tabs>
          <w:tab w:val="right" w:leader="dot" w:pos="9350"/>
        </w:tabs>
        <w:rPr>
          <w:noProof/>
        </w:rPr>
      </w:pPr>
      <w:r w:rsidRPr="00392DE0">
        <w:rPr>
          <w:rFonts w:cs="Times New Roman"/>
          <w:noProof/>
        </w:rPr>
        <w:t xml:space="preserve">PIOVESAN, Flavia. </w:t>
      </w:r>
      <w:r w:rsidRPr="00392DE0">
        <w:rPr>
          <w:rFonts w:cs="Times New Roman"/>
          <w:b/>
          <w:noProof/>
        </w:rPr>
        <w:t>Direitos Reprodutivos como Direitos Humanos</w:t>
      </w:r>
      <w:r>
        <w:rPr>
          <w:noProof/>
        </w:rPr>
        <w:tab/>
        <w:t>26</w:t>
      </w:r>
    </w:p>
    <w:p w:rsidR="003E78E7" w:rsidRPr="003E78E7" w:rsidRDefault="003E78E7" w:rsidP="003E78E7">
      <w:pPr>
        <w:pStyle w:val="TOAHeading"/>
        <w:rPr>
          <w:szCs w:val="24"/>
          <w:lang w:val="en-US"/>
        </w:rPr>
      </w:pPr>
      <w:r w:rsidRPr="00392DE0">
        <w:rPr>
          <w:noProof/>
          <w:lang w:val="en-US"/>
        </w:rPr>
        <w:t>Society Foundations, Against Her Will: Forced and Coerced Sterilization of Women Worldwide (2011)</w:t>
      </w:r>
      <w:r w:rsidRPr="003E78E7">
        <w:rPr>
          <w:noProof/>
          <w:lang w:val="en-US"/>
        </w:rPr>
        <w:tab/>
        <w:t>27</w:t>
      </w:r>
    </w:p>
    <w:p w:rsidR="004A4C8E" w:rsidRDefault="003E78E7">
      <w:pPr>
        <w:pStyle w:val="TOAHeading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3E78E7">
        <w:t>LISTA DE CASOS LEGAIS</w:t>
      </w:r>
      <w:r w:rsidR="002B62D4" w:rsidRPr="00744F6B">
        <w:fldChar w:fldCharType="begin"/>
      </w:r>
      <w:r w:rsidR="0064568D" w:rsidRPr="007D475E">
        <w:instrText xml:space="preserve"> TOA \h \c "1" </w:instrText>
      </w:r>
      <w:r w:rsidR="002B62D4" w:rsidRPr="00744F6B">
        <w:fldChar w:fldCharType="separate"/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6A6EB3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iCs/>
          <w:noProof/>
          <w:lang w:val="es-MX"/>
        </w:rPr>
        <w:t xml:space="preserve">Caso "Instituto de Reeducación del Menor" Vs. </w:t>
      </w:r>
      <w:r w:rsidRPr="004A4C8E">
        <w:rPr>
          <w:rFonts w:cs="Times New Roman"/>
          <w:b/>
          <w:iCs/>
          <w:noProof/>
        </w:rPr>
        <w:t>Paraguai</w:t>
      </w:r>
      <w:r>
        <w:rPr>
          <w:noProof/>
        </w:rPr>
        <w:tab/>
        <w:t>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Acevedo Buendía e Outros Vs. Peru</w:t>
      </w:r>
      <w:r>
        <w:rPr>
          <w:noProof/>
        </w:rPr>
        <w:tab/>
        <w:t>20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Almonacid Arellano e Outros Vs. Chile</w:t>
      </w:r>
      <w:r>
        <w:rPr>
          <w:noProof/>
        </w:rPr>
        <w:tab/>
        <w:t>29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Artavia Murillo e outros Vs. Costa Rica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iCs/>
          <w:noProof/>
        </w:rPr>
        <w:t>Caso Atala Riffo e Niñas Vs. Chile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bCs/>
          <w:noProof/>
        </w:rPr>
        <w:t>Caso Bácama Velásquez Vs. Guatemala</w:t>
      </w:r>
      <w:r>
        <w:rPr>
          <w:noProof/>
        </w:rPr>
        <w:tab/>
        <w:t>31, 32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iCs/>
          <w:noProof/>
        </w:rPr>
        <w:t xml:space="preserve">CrIDH. </w:t>
      </w:r>
      <w:r w:rsidRPr="004A4C8E">
        <w:rPr>
          <w:rFonts w:cs="Times New Roman"/>
          <w:b/>
          <w:iCs/>
          <w:noProof/>
        </w:rPr>
        <w:t>Caso Baldeón García Vs. Peru</w:t>
      </w:r>
      <w:r>
        <w:rPr>
          <w:noProof/>
        </w:rPr>
        <w:tab/>
        <w:t>23, 33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>CrIDH.</w:t>
      </w:r>
      <w:r w:rsidRPr="0048162D">
        <w:rPr>
          <w:rFonts w:cs="Times New Roman"/>
          <w:iCs/>
          <w:noProof/>
        </w:rPr>
        <w:t xml:space="preserve"> </w:t>
      </w:r>
      <w:r w:rsidRPr="0048162D">
        <w:rPr>
          <w:rFonts w:cs="Times New Roman"/>
          <w:b/>
          <w:iCs/>
          <w:noProof/>
        </w:rPr>
        <w:t>Caso Bámaca Velásquez Vs. Guatemala</w:t>
      </w:r>
      <w:r>
        <w:rPr>
          <w:noProof/>
        </w:rPr>
        <w:tab/>
        <w:t>23, 30, 33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Caballero Delgado e Santana Vs. Colômbia</w:t>
      </w:r>
      <w:r>
        <w:rPr>
          <w:noProof/>
        </w:rPr>
        <w:tab/>
        <w:t>18, 29, 31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Caesar Vs. Trindade Tobago</w:t>
      </w:r>
      <w:r>
        <w:rPr>
          <w:noProof/>
        </w:rPr>
        <w:tab/>
        <w:t>22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Cantoral Benavides Vs. Peru</w:t>
      </w:r>
      <w:r>
        <w:rPr>
          <w:noProof/>
        </w:rPr>
        <w:tab/>
        <w:t>17, 23, 25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 xml:space="preserve">Caso Carpio Nicolle e outros Vs. </w:t>
      </w:r>
      <w:r w:rsidRPr="004A4C8E">
        <w:rPr>
          <w:rFonts w:cs="Times New Roman"/>
          <w:b/>
          <w:noProof/>
          <w:lang w:val="es-MX"/>
        </w:rPr>
        <w:t>Guatemala</w:t>
      </w:r>
      <w:r w:rsidRPr="004A4C8E">
        <w:rPr>
          <w:noProof/>
          <w:lang w:val="es-MX"/>
        </w:rPr>
        <w:tab/>
        <w:t>31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  <w:lang w:val="es-ES"/>
        </w:rPr>
        <w:lastRenderedPageBreak/>
        <w:t xml:space="preserve">CrIDH. </w:t>
      </w:r>
      <w:r w:rsidRPr="0048162D">
        <w:rPr>
          <w:rFonts w:cs="Times New Roman"/>
          <w:b/>
          <w:noProof/>
          <w:lang w:val="es-ES"/>
        </w:rPr>
        <w:t>Caso Castañeda Gutman Vs México</w:t>
      </w:r>
      <w:r w:rsidRPr="004A4C8E">
        <w:rPr>
          <w:noProof/>
          <w:lang w:val="es-MX"/>
        </w:rPr>
        <w:tab/>
        <w:t>18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  <w:lang w:val="es-MX"/>
        </w:rPr>
        <w:t xml:space="preserve">CrIDH. </w:t>
      </w:r>
      <w:r w:rsidRPr="0048162D">
        <w:rPr>
          <w:rFonts w:cs="Times New Roman"/>
          <w:b/>
          <w:bCs/>
          <w:noProof/>
          <w:lang w:val="es-MX"/>
        </w:rPr>
        <w:t>Caso Castillo Páez Vs</w:t>
      </w:r>
      <w:r w:rsidRPr="0048162D">
        <w:rPr>
          <w:rFonts w:cs="Times New Roman"/>
          <w:b/>
          <w:noProof/>
          <w:lang w:val="es-MX"/>
        </w:rPr>
        <w:t xml:space="preserve">. </w:t>
      </w:r>
      <w:r w:rsidRPr="004A4C8E">
        <w:rPr>
          <w:rFonts w:cs="Times New Roman"/>
          <w:b/>
          <w:noProof/>
        </w:rPr>
        <w:t>Peru</w:t>
      </w:r>
      <w:r>
        <w:rPr>
          <w:noProof/>
        </w:rPr>
        <w:tab/>
        <w:t>31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bCs/>
          <w:noProof/>
        </w:rPr>
        <w:t>Caso da “Panel Blanca” Paniagua Morales e outros Vs. Guatemala</w:t>
      </w:r>
      <w:r>
        <w:rPr>
          <w:noProof/>
        </w:rPr>
        <w:tab/>
        <w:t>31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das Crianças de Rua Vs. Guatemala</w:t>
      </w:r>
      <w:r>
        <w:rPr>
          <w:noProof/>
        </w:rPr>
        <w:tab/>
        <w:t>21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 xml:space="preserve">Caso das Crianças Yean e Bosico Vs. </w:t>
      </w:r>
      <w:r w:rsidRPr="004A4C8E">
        <w:rPr>
          <w:rFonts w:cs="Times New Roman"/>
          <w:b/>
          <w:noProof/>
          <w:lang w:val="es-MX"/>
        </w:rPr>
        <w:t>República Dominicana</w:t>
      </w:r>
      <w:r w:rsidRPr="004A4C8E">
        <w:rPr>
          <w:noProof/>
          <w:lang w:val="es-MX"/>
        </w:rPr>
        <w:tab/>
        <w:t>17, 32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  <w:lang w:val="es-MX"/>
        </w:rPr>
        <w:t xml:space="preserve">CrIDH. </w:t>
      </w:r>
      <w:r w:rsidRPr="0048162D">
        <w:rPr>
          <w:rFonts w:cs="Times New Roman"/>
          <w:b/>
          <w:iCs/>
          <w:noProof/>
          <w:lang w:val="es-MX"/>
        </w:rPr>
        <w:t>Caso De La Cruz Flores Vs. Peru</w:t>
      </w:r>
      <w:r w:rsidRPr="004A4C8E">
        <w:rPr>
          <w:noProof/>
          <w:lang w:val="es-MX"/>
        </w:rPr>
        <w:tab/>
        <w:t>23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  <w:lang w:val="es-MX"/>
        </w:rPr>
        <w:t xml:space="preserve">CrIDH. </w:t>
      </w:r>
      <w:r w:rsidRPr="0048162D">
        <w:rPr>
          <w:rFonts w:cs="Times New Roman"/>
          <w:b/>
          <w:iCs/>
          <w:noProof/>
          <w:lang w:val="es-MX"/>
        </w:rPr>
        <w:t>Caso de la Masacre Pueblo Bello Vs. Colômbia</w:t>
      </w:r>
      <w:r w:rsidRPr="004A4C8E">
        <w:rPr>
          <w:noProof/>
          <w:lang w:val="es-MX"/>
        </w:rPr>
        <w:tab/>
        <w:t>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  <w:lang w:val="es-MX"/>
        </w:rPr>
        <w:t xml:space="preserve">CrIDH. </w:t>
      </w:r>
      <w:r w:rsidRPr="004A4C8E">
        <w:rPr>
          <w:rFonts w:cs="Times New Roman"/>
          <w:b/>
          <w:iCs/>
          <w:noProof/>
          <w:lang w:val="es-MX"/>
        </w:rPr>
        <w:t xml:space="preserve">Caso de los Hermanos Gómez Paquiyauri Vs. </w:t>
      </w:r>
      <w:r w:rsidRPr="0048162D">
        <w:rPr>
          <w:rFonts w:cs="Times New Roman"/>
          <w:b/>
          <w:iCs/>
          <w:noProof/>
        </w:rPr>
        <w:t>Peru</w:t>
      </w:r>
      <w:r>
        <w:rPr>
          <w:noProof/>
        </w:rPr>
        <w:tab/>
        <w:t>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iCs/>
          <w:noProof/>
        </w:rPr>
        <w:t>Caso dos Massacres de Ituango Vs. Colômbia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Escher e Outros Vs. Brasil</w:t>
      </w:r>
      <w:r>
        <w:rPr>
          <w:noProof/>
        </w:rPr>
        <w:tab/>
        <w:t>30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Fermín Ramírez Vs. Guatemala</w:t>
      </w:r>
      <w:r>
        <w:rPr>
          <w:noProof/>
        </w:rPr>
        <w:tab/>
        <w:t>22, 23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Furlan e Familiares Vs. Argentina</w:t>
      </w:r>
      <w:r>
        <w:rPr>
          <w:noProof/>
        </w:rPr>
        <w:tab/>
        <w:t>20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García Asto e Ramírez Rojas Vs. Peru</w:t>
      </w:r>
      <w:r>
        <w:rPr>
          <w:noProof/>
        </w:rPr>
        <w:tab/>
        <w:t>22, 23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Garibaldi Vs. Brasil</w:t>
      </w:r>
      <w:r>
        <w:rPr>
          <w:noProof/>
        </w:rPr>
        <w:tab/>
        <w:t>16, 18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Garrido e Baigorria Vs. Argentina</w:t>
      </w:r>
      <w:r>
        <w:rPr>
          <w:noProof/>
        </w:rPr>
        <w:tab/>
        <w:t>34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iCs/>
          <w:noProof/>
        </w:rPr>
        <w:t>Caso Gelman Vs. Uruguai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Genie Lacayo Vs. Nicarágua</w:t>
      </w:r>
      <w:r>
        <w:rPr>
          <w:noProof/>
        </w:rPr>
        <w:tab/>
        <w:t>30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Gomes Lund e Outros Vs. Brasil</w:t>
      </w:r>
      <w:r>
        <w:rPr>
          <w:noProof/>
        </w:rPr>
        <w:tab/>
        <w:t>17, 29, 33, 34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Gutiérrez e Família Vs. Argentina</w:t>
      </w:r>
      <w:r>
        <w:rPr>
          <w:noProof/>
        </w:rPr>
        <w:tab/>
        <w:t>35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>
        <w:rPr>
          <w:noProof/>
        </w:rPr>
        <w:t xml:space="preserve">CrIDH. </w:t>
      </w:r>
      <w:r w:rsidRPr="0048162D">
        <w:rPr>
          <w:b/>
          <w:noProof/>
        </w:rPr>
        <w:t>Caso Gutiérrez Soler Vs. Colômbia</w:t>
      </w:r>
      <w:r>
        <w:rPr>
          <w:noProof/>
        </w:rPr>
        <w:tab/>
        <w:t>21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Herrera Ulloa Vs. Costa Rica</w:t>
      </w:r>
      <w:r>
        <w:rPr>
          <w:noProof/>
        </w:rPr>
        <w:tab/>
        <w:t>14, 15, 17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eastAsia="Times New Roman"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 xml:space="preserve">Caso Juan Humberto Sánchez Vs. </w:t>
      </w:r>
      <w:r w:rsidRPr="0048162D">
        <w:rPr>
          <w:rFonts w:cs="Times New Roman"/>
          <w:b/>
          <w:noProof/>
          <w:lang w:val="es-MX"/>
        </w:rPr>
        <w:t>Honduras</w:t>
      </w:r>
      <w:r w:rsidRPr="004A4C8E">
        <w:rPr>
          <w:noProof/>
          <w:lang w:val="es-MX"/>
        </w:rPr>
        <w:tab/>
        <w:t>16, 30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eastAsia="Times New Roman" w:cs="Times New Roman"/>
          <w:noProof/>
          <w:lang w:val="es-MX"/>
        </w:rPr>
        <w:t xml:space="preserve">CrIDH. </w:t>
      </w:r>
      <w:r w:rsidRPr="004A4C8E">
        <w:rPr>
          <w:rFonts w:cs="Times New Roman"/>
          <w:b/>
          <w:noProof/>
          <w:lang w:val="es-MX"/>
        </w:rPr>
        <w:t>Caso Las Palmeras Vs. Colômbia</w:t>
      </w:r>
      <w:r w:rsidRPr="004A4C8E">
        <w:rPr>
          <w:noProof/>
          <w:lang w:val="es-MX"/>
        </w:rPr>
        <w:tab/>
        <w:t>16, 18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noProof/>
          <w:lang w:val="es-MX"/>
        </w:rPr>
        <w:lastRenderedPageBreak/>
        <w:t xml:space="preserve">CrIDH. </w:t>
      </w:r>
      <w:r w:rsidRPr="004A4C8E">
        <w:rPr>
          <w:b/>
          <w:bCs/>
          <w:noProof/>
          <w:lang w:val="es-MX"/>
        </w:rPr>
        <w:t>Caso Loayza Tomayo Vs. Peru</w:t>
      </w:r>
      <w:r w:rsidRPr="004A4C8E">
        <w:rPr>
          <w:noProof/>
          <w:lang w:val="es-MX"/>
        </w:rPr>
        <w:tab/>
        <w:t>17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  <w:lang w:val="es-MX"/>
        </w:rPr>
        <w:t xml:space="preserve">CrIDH. </w:t>
      </w:r>
      <w:r w:rsidRPr="0048162D">
        <w:rPr>
          <w:rFonts w:cs="Times New Roman"/>
          <w:b/>
          <w:iCs/>
          <w:noProof/>
          <w:lang w:val="es-MX"/>
        </w:rPr>
        <w:t>Caso Lori Berenson Mejía Vs. Peru</w:t>
      </w:r>
      <w:r w:rsidRPr="004A4C8E">
        <w:rPr>
          <w:noProof/>
          <w:lang w:val="es-MX"/>
        </w:rPr>
        <w:tab/>
        <w:t>23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noProof/>
          <w:lang w:val="es-MX"/>
        </w:rPr>
        <w:t xml:space="preserve">CrIDH. </w:t>
      </w:r>
      <w:r w:rsidRPr="004A4C8E">
        <w:rPr>
          <w:rFonts w:cs="Times New Roman"/>
          <w:b/>
          <w:noProof/>
          <w:lang w:val="es-MX"/>
        </w:rPr>
        <w:t>Caso Luna López Vs. Honduras</w:t>
      </w:r>
      <w:r w:rsidRPr="004A4C8E">
        <w:rPr>
          <w:noProof/>
          <w:lang w:val="es-MX"/>
        </w:rPr>
        <w:tab/>
        <w:t>35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eastAsia="Times New Roman" w:cs="Times New Roman"/>
          <w:noProof/>
          <w:lang w:val="es-MX"/>
        </w:rPr>
        <w:t xml:space="preserve">CrIDH. </w:t>
      </w:r>
      <w:r w:rsidRPr="004A4C8E">
        <w:rPr>
          <w:rFonts w:cs="Times New Roman"/>
          <w:b/>
          <w:noProof/>
          <w:lang w:val="es-MX"/>
        </w:rPr>
        <w:t>Caso Manuel Cepeda Vargas Vs. Colômbia</w:t>
      </w:r>
      <w:r w:rsidRPr="004A4C8E">
        <w:rPr>
          <w:noProof/>
          <w:lang w:val="es-MX"/>
        </w:rPr>
        <w:tab/>
        <w:t>16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noProof/>
          <w:lang w:val="es-MX"/>
        </w:rPr>
        <w:t xml:space="preserve">CrIDH. </w:t>
      </w:r>
      <w:r w:rsidRPr="004A4C8E">
        <w:rPr>
          <w:rFonts w:cs="Times New Roman"/>
          <w:b/>
          <w:iCs/>
          <w:noProof/>
          <w:lang w:val="es-MX"/>
        </w:rPr>
        <w:t>Caso Maritza Urrutia Vs. Guatemala</w:t>
      </w:r>
      <w:r w:rsidRPr="004A4C8E">
        <w:rPr>
          <w:noProof/>
          <w:lang w:val="es-MX"/>
        </w:rPr>
        <w:tab/>
        <w:t>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Neira Alegría e Outros Vs. Peru</w:t>
      </w:r>
      <w:r>
        <w:rPr>
          <w:noProof/>
        </w:rPr>
        <w:tab/>
        <w:t>17, 18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Osorio Rivera e Familiares Vs. Peru</w:t>
      </w:r>
      <w:r>
        <w:rPr>
          <w:noProof/>
        </w:rPr>
        <w:tab/>
        <w:t>34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Povo de Saramaka. Vs. Suriname</w:t>
      </w:r>
      <w:r>
        <w:rPr>
          <w:noProof/>
        </w:rPr>
        <w:tab/>
        <w:t>16, 31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Povo Indígena Kichwa de Sarayaku Vs. Equador</w:t>
      </w:r>
      <w:r>
        <w:rPr>
          <w:noProof/>
        </w:rPr>
        <w:tab/>
        <w:t>30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>Caso Raxcacó Reyes Vs. Guatemala</w:t>
      </w:r>
      <w:r>
        <w:rPr>
          <w:noProof/>
        </w:rPr>
        <w:tab/>
        <w:t>22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iCs/>
          <w:noProof/>
        </w:rPr>
        <w:t>Caso Rosendo Cantú e outras Vs. México</w:t>
      </w:r>
      <w:r>
        <w:rPr>
          <w:noProof/>
        </w:rPr>
        <w:tab/>
        <w:t>27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iCs/>
          <w:noProof/>
        </w:rPr>
        <w:t xml:space="preserve">CrIDH. </w:t>
      </w:r>
      <w:r w:rsidRPr="004A4C8E">
        <w:rPr>
          <w:rFonts w:cs="Times New Roman"/>
          <w:b/>
          <w:iCs/>
          <w:noProof/>
        </w:rPr>
        <w:t xml:space="preserve">Caso Rosendo Cantú e outros Vs. </w:t>
      </w:r>
      <w:r w:rsidRPr="0048162D">
        <w:rPr>
          <w:rFonts w:cs="Times New Roman"/>
          <w:b/>
          <w:iCs/>
          <w:noProof/>
          <w:lang w:val="es-MX"/>
        </w:rPr>
        <w:t>México</w:t>
      </w:r>
      <w:r w:rsidRPr="004A4C8E">
        <w:rPr>
          <w:noProof/>
          <w:lang w:val="es-MX"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noProof/>
          <w:lang w:val="es-MX"/>
        </w:rPr>
        <w:t xml:space="preserve">CrIDH. </w:t>
      </w:r>
      <w:r w:rsidRPr="004A4C8E">
        <w:rPr>
          <w:b/>
          <w:noProof/>
          <w:lang w:val="es-MX"/>
        </w:rPr>
        <w:t xml:space="preserve">Caso Suárez Rosero Vs. </w:t>
      </w:r>
      <w:r w:rsidRPr="0048162D">
        <w:rPr>
          <w:b/>
          <w:noProof/>
        </w:rPr>
        <w:t>Equador</w:t>
      </w:r>
      <w:r>
        <w:rPr>
          <w:noProof/>
        </w:rPr>
        <w:tab/>
        <w:t>22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iCs/>
          <w:noProof/>
        </w:rPr>
        <w:t>Caso Tibi Vs. Equador</w:t>
      </w:r>
      <w:r>
        <w:rPr>
          <w:noProof/>
        </w:rPr>
        <w:tab/>
        <w:t>23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noProof/>
        </w:rPr>
        <w:t xml:space="preserve">CrIDH. </w:t>
      </w:r>
      <w:r w:rsidRPr="004A4C8E">
        <w:rPr>
          <w:rFonts w:cs="Times New Roman"/>
          <w:b/>
          <w:noProof/>
        </w:rPr>
        <w:t xml:space="preserve">Caso Uzcátegui e Outros Vs. </w:t>
      </w:r>
      <w:r w:rsidRPr="0048162D">
        <w:rPr>
          <w:rFonts w:cs="Times New Roman"/>
          <w:b/>
          <w:noProof/>
          <w:lang w:val="es-MX"/>
        </w:rPr>
        <w:t>Venezuela</w:t>
      </w:r>
      <w:r w:rsidRPr="004A4C8E">
        <w:rPr>
          <w:noProof/>
          <w:lang w:val="es-MX"/>
        </w:rPr>
        <w:tab/>
        <w:t>14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noProof/>
          <w:lang w:val="es-MX"/>
        </w:rPr>
        <w:t xml:space="preserve">CrIDH. </w:t>
      </w:r>
      <w:r w:rsidRPr="004A4C8E">
        <w:rPr>
          <w:b/>
          <w:bCs/>
          <w:noProof/>
          <w:lang w:val="es-MX"/>
        </w:rPr>
        <w:t xml:space="preserve">Caso Velásquez Rodríguez Vs. </w:t>
      </w:r>
      <w:r w:rsidRPr="0048162D">
        <w:rPr>
          <w:b/>
          <w:bCs/>
          <w:noProof/>
        </w:rPr>
        <w:t>Honduras</w:t>
      </w:r>
      <w:r>
        <w:rPr>
          <w:noProof/>
        </w:rPr>
        <w:tab/>
        <w:t>16, 18, 29, 31, 33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Caso Ximenes Lopes Vs. Brasil</w:t>
      </w:r>
      <w:r>
        <w:rPr>
          <w:noProof/>
        </w:rPr>
        <w:tab/>
        <w:t>22, 23, 25, 26, 30, 33, 34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Matéria da Penitenciária Urso Branco em relação ao Brasil</w:t>
      </w:r>
      <w:r>
        <w:rPr>
          <w:noProof/>
        </w:rPr>
        <w:tab/>
        <w:t>14, 15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eastAsia="Times New Roman" w:cs="Times New Roman"/>
          <w:noProof/>
        </w:rPr>
        <w:t>CrIDH</w:t>
      </w:r>
      <w:r w:rsidRPr="0048162D">
        <w:rPr>
          <w:rFonts w:cs="Times New Roman"/>
          <w:noProof/>
        </w:rPr>
        <w:t xml:space="preserve">. </w:t>
      </w:r>
      <w:r w:rsidRPr="0048162D">
        <w:rPr>
          <w:rFonts w:cs="Times New Roman"/>
          <w:b/>
          <w:noProof/>
        </w:rPr>
        <w:t>Matéria das Crianças e Adolescentes Privados de Liberdade no "Complexo do Tatuapé” da FEBEM em relação ao Brasil</w:t>
      </w:r>
      <w:r>
        <w:rPr>
          <w:noProof/>
        </w:rPr>
        <w:tab/>
        <w:t>15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Matéria das Pessoas Privadas de Liberdade da Penitenciária "Dr. Sebastião Martins Silveira" em Araraquara, São Paulo em relação ao Brasil</w:t>
      </w:r>
      <w:r>
        <w:rPr>
          <w:noProof/>
        </w:rPr>
        <w:tab/>
        <w:t>15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eastAsia="Times New Roman" w:cs="Times New Roman"/>
          <w:noProof/>
        </w:rPr>
        <w:t>CrIDH</w:t>
      </w:r>
      <w:r w:rsidRPr="0048162D">
        <w:rPr>
          <w:rFonts w:cs="Times New Roman"/>
          <w:noProof/>
        </w:rPr>
        <w:t xml:space="preserve">. </w:t>
      </w:r>
      <w:r w:rsidRPr="0048162D">
        <w:rPr>
          <w:rFonts w:cs="Times New Roman"/>
          <w:b/>
          <w:noProof/>
        </w:rPr>
        <w:t xml:space="preserve">Matéria Flores e Outra em relação ao Caso Torres Millacura e Outros Vs. </w:t>
      </w:r>
      <w:r w:rsidRPr="0048162D">
        <w:rPr>
          <w:rFonts w:cs="Times New Roman"/>
          <w:b/>
          <w:noProof/>
        </w:rPr>
        <w:lastRenderedPageBreak/>
        <w:t>Argentina</w:t>
      </w:r>
      <w:r>
        <w:rPr>
          <w:noProof/>
        </w:rPr>
        <w:tab/>
        <w:t>15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CrIDH. </w:t>
      </w:r>
      <w:r w:rsidRPr="0048162D">
        <w:rPr>
          <w:rFonts w:cs="Times New Roman"/>
          <w:b/>
          <w:noProof/>
        </w:rPr>
        <w:t>Matéria Wong Ho Wing em relação ao Peru</w:t>
      </w:r>
      <w:r>
        <w:rPr>
          <w:noProof/>
        </w:rPr>
        <w:tab/>
        <w:t>15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n-US"/>
        </w:rPr>
      </w:pPr>
      <w:r w:rsidRPr="0048162D">
        <w:rPr>
          <w:rFonts w:cs="Times New Roman"/>
          <w:noProof/>
          <w:lang w:val="en-US"/>
        </w:rPr>
        <w:t>ICJ</w:t>
      </w:r>
      <w:r w:rsidRPr="0048162D">
        <w:rPr>
          <w:rFonts w:cs="Times New Roman"/>
          <w:noProof/>
          <w:lang w:val="en-GB"/>
        </w:rPr>
        <w:t>.</w:t>
      </w:r>
      <w:r w:rsidRPr="0048162D">
        <w:rPr>
          <w:rFonts w:cs="Times New Roman"/>
          <w:noProof/>
          <w:lang w:val="en-US"/>
        </w:rPr>
        <w:t xml:space="preserve"> </w:t>
      </w:r>
      <w:r w:rsidRPr="0048162D">
        <w:rPr>
          <w:rFonts w:cs="Times New Roman"/>
          <w:b/>
          <w:noProof/>
          <w:lang w:val="en-US"/>
        </w:rPr>
        <w:t xml:space="preserve">Caso </w:t>
      </w:r>
      <w:r w:rsidRPr="0048162D">
        <w:rPr>
          <w:rFonts w:cs="Times New Roman"/>
          <w:b/>
          <w:noProof/>
          <w:lang w:val="en-GB"/>
        </w:rPr>
        <w:t>Factory at Chorzów</w:t>
      </w:r>
      <w:r w:rsidRPr="004A4C8E">
        <w:rPr>
          <w:noProof/>
          <w:lang w:val="en-US"/>
        </w:rPr>
        <w:tab/>
        <w:t>33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n-US"/>
        </w:rPr>
      </w:pPr>
      <w:r w:rsidRPr="0048162D">
        <w:rPr>
          <w:rFonts w:cs="Times New Roman"/>
          <w:noProof/>
          <w:lang w:val="en-US"/>
        </w:rPr>
        <w:t xml:space="preserve">TEDH. </w:t>
      </w:r>
      <w:r w:rsidRPr="0048162D">
        <w:rPr>
          <w:rFonts w:cs="Times New Roman"/>
          <w:b/>
          <w:noProof/>
          <w:lang w:val="en-US"/>
        </w:rPr>
        <w:t>Al-Adsani Vs. United Kingdom</w:t>
      </w:r>
      <w:r w:rsidRPr="004A4C8E">
        <w:rPr>
          <w:noProof/>
          <w:lang w:val="en-US"/>
        </w:rPr>
        <w:tab/>
        <w:t>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TEDH. </w:t>
      </w:r>
      <w:r w:rsidRPr="0048162D">
        <w:rPr>
          <w:rFonts w:cs="Times New Roman"/>
          <w:b/>
          <w:noProof/>
        </w:rPr>
        <w:t>Caso Airey Vs. Irlanda</w:t>
      </w:r>
      <w:r>
        <w:rPr>
          <w:noProof/>
        </w:rPr>
        <w:tab/>
        <w:t>20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n-US"/>
        </w:rPr>
      </w:pPr>
      <w:r w:rsidRPr="004A4C8E">
        <w:rPr>
          <w:rFonts w:cs="Times New Roman"/>
          <w:noProof/>
          <w:lang w:val="en-US"/>
        </w:rPr>
        <w:t xml:space="preserve">TEDH. </w:t>
      </w:r>
      <w:r w:rsidRPr="004A4C8E">
        <w:rPr>
          <w:rFonts w:cs="Times New Roman"/>
          <w:b/>
          <w:noProof/>
          <w:lang w:val="en-US"/>
        </w:rPr>
        <w:t>Caso Brincat v. Italy</w:t>
      </w:r>
      <w:r w:rsidRPr="004A4C8E">
        <w:rPr>
          <w:noProof/>
          <w:lang w:val="en-US"/>
        </w:rPr>
        <w:tab/>
        <w:t>34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noProof/>
          <w:lang w:val="en-US"/>
        </w:rPr>
        <w:t xml:space="preserve">TEDH. </w:t>
      </w:r>
      <w:r w:rsidRPr="0048162D">
        <w:rPr>
          <w:rFonts w:cs="Times New Roman"/>
          <w:b/>
          <w:iCs/>
          <w:noProof/>
          <w:lang w:val="es-ES"/>
        </w:rPr>
        <w:t>Caso Dudgeon Vs. Reino Unido</w:t>
      </w:r>
      <w:r w:rsidRPr="004A4C8E">
        <w:rPr>
          <w:noProof/>
          <w:lang w:val="es-MX"/>
        </w:rPr>
        <w:tab/>
        <w:t>27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  <w:lang w:val="es-MX"/>
        </w:rPr>
        <w:t xml:space="preserve">TEDH. </w:t>
      </w:r>
      <w:r w:rsidRPr="0048162D">
        <w:rPr>
          <w:rFonts w:cs="Times New Roman"/>
          <w:b/>
          <w:noProof/>
          <w:lang w:val="es-MX"/>
        </w:rPr>
        <w:t>Caso Edward Vs. Reino Unido</w:t>
      </w:r>
      <w:r w:rsidRPr="004A4C8E">
        <w:rPr>
          <w:noProof/>
          <w:lang w:val="es-MX"/>
        </w:rPr>
        <w:tab/>
        <w:t>30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noProof/>
          <w:lang w:val="es-MX"/>
        </w:rPr>
        <w:t>TEDH</w:t>
      </w:r>
      <w:r w:rsidRPr="004A4C8E">
        <w:rPr>
          <w:rFonts w:eastAsia="Calibri" w:cs="Times New Roman"/>
          <w:noProof/>
          <w:lang w:val="es-MX" w:eastAsia="en-US"/>
        </w:rPr>
        <w:t xml:space="preserve">. </w:t>
      </w:r>
      <w:r w:rsidRPr="004A4C8E">
        <w:rPr>
          <w:rFonts w:eastAsia="Calibri" w:cs="Times New Roman"/>
          <w:b/>
          <w:iCs/>
          <w:noProof/>
          <w:lang w:val="es-MX" w:eastAsia="en-US"/>
        </w:rPr>
        <w:t>Caso Evans Vs. Reino Unido</w:t>
      </w:r>
      <w:r w:rsidRPr="004A4C8E">
        <w:rPr>
          <w:noProof/>
          <w:lang w:val="es-MX"/>
        </w:rPr>
        <w:tab/>
        <w:t>28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A4C8E">
        <w:rPr>
          <w:rFonts w:cs="Times New Roman"/>
          <w:noProof/>
          <w:lang w:val="es-MX"/>
        </w:rPr>
        <w:t xml:space="preserve">TEDH. </w:t>
      </w:r>
      <w:r w:rsidRPr="004A4C8E">
        <w:rPr>
          <w:rFonts w:cs="Times New Roman"/>
          <w:b/>
          <w:noProof/>
          <w:lang w:val="es-MX"/>
        </w:rPr>
        <w:t>Caso Grori Vs. Albânia</w:t>
      </w:r>
      <w:r w:rsidRPr="004A4C8E">
        <w:rPr>
          <w:noProof/>
          <w:lang w:val="es-MX"/>
        </w:rPr>
        <w:tab/>
        <w:t>23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  <w:lang w:val="es-MX"/>
        </w:rPr>
        <w:t xml:space="preserve">TEDH. </w:t>
      </w:r>
      <w:r w:rsidRPr="0048162D">
        <w:rPr>
          <w:rFonts w:cs="Times New Roman"/>
          <w:b/>
          <w:iCs/>
          <w:noProof/>
          <w:lang w:val="es-MX"/>
        </w:rPr>
        <w:t>Caso Niemietz Vs. Alemania</w:t>
      </w:r>
      <w:r w:rsidRPr="004A4C8E">
        <w:rPr>
          <w:noProof/>
          <w:lang w:val="es-MX"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  <w:lang w:val="es-MX"/>
        </w:rPr>
        <w:t xml:space="preserve">TEDH. </w:t>
      </w:r>
      <w:r w:rsidRPr="0048162D">
        <w:rPr>
          <w:rFonts w:cs="Times New Roman"/>
          <w:b/>
          <w:iCs/>
          <w:noProof/>
          <w:lang w:val="es-MX"/>
        </w:rPr>
        <w:t xml:space="preserve">Caso Peck Vs. </w:t>
      </w:r>
      <w:r w:rsidRPr="004A4C8E">
        <w:rPr>
          <w:rFonts w:cs="Times New Roman"/>
          <w:b/>
          <w:iCs/>
          <w:noProof/>
        </w:rPr>
        <w:t>Reino Unido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TEDH. </w:t>
      </w:r>
      <w:r w:rsidRPr="0048162D">
        <w:rPr>
          <w:rFonts w:cs="Times New Roman"/>
          <w:b/>
          <w:noProof/>
        </w:rPr>
        <w:t>Caso</w:t>
      </w:r>
      <w:r w:rsidRPr="0048162D">
        <w:rPr>
          <w:rFonts w:cs="Times New Roman"/>
          <w:noProof/>
        </w:rPr>
        <w:t xml:space="preserve"> </w:t>
      </w:r>
      <w:r w:rsidRPr="0048162D">
        <w:rPr>
          <w:rFonts w:cs="Times New Roman"/>
          <w:b/>
          <w:noProof/>
        </w:rPr>
        <w:t>Peers Vs. Grécia</w:t>
      </w:r>
      <w:r>
        <w:rPr>
          <w:noProof/>
        </w:rPr>
        <w:tab/>
        <w:t>23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rFonts w:cs="Times New Roman"/>
          <w:noProof/>
        </w:rPr>
        <w:t xml:space="preserve">TEDH. </w:t>
      </w:r>
      <w:r w:rsidRPr="004A4C8E">
        <w:rPr>
          <w:rFonts w:cs="Times New Roman"/>
          <w:b/>
          <w:iCs/>
          <w:noProof/>
        </w:rPr>
        <w:t>Caso Pretty Vs. Reino Unido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TEDH. </w:t>
      </w:r>
      <w:r w:rsidRPr="0048162D">
        <w:rPr>
          <w:rFonts w:cs="Times New Roman"/>
          <w:b/>
          <w:iCs/>
          <w:noProof/>
        </w:rPr>
        <w:t>Caso R.R. Vs. Polônia</w:t>
      </w:r>
      <w:r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</w:rPr>
        <w:t xml:space="preserve">TEDH. </w:t>
      </w:r>
      <w:r w:rsidRPr="0048162D">
        <w:rPr>
          <w:rFonts w:cs="Times New Roman"/>
          <w:b/>
          <w:noProof/>
        </w:rPr>
        <w:t>Caso Stanev Vs. Bulgária</w:t>
      </w:r>
      <w:r>
        <w:rPr>
          <w:noProof/>
        </w:rPr>
        <w:tab/>
        <w:t>24</w:t>
      </w:r>
    </w:p>
    <w:p w:rsidR="004A4C8E" w:rsidRPr="004A4C8E" w:rsidRDefault="004A4C8E">
      <w:pPr>
        <w:pStyle w:val="TableofAuthorities"/>
        <w:tabs>
          <w:tab w:val="right" w:leader="dot" w:pos="9350"/>
        </w:tabs>
        <w:rPr>
          <w:noProof/>
          <w:lang w:val="es-MX"/>
        </w:rPr>
      </w:pPr>
      <w:r w:rsidRPr="0048162D">
        <w:rPr>
          <w:rFonts w:cs="Times New Roman"/>
          <w:noProof/>
        </w:rPr>
        <w:t xml:space="preserve">TEDH. </w:t>
      </w:r>
      <w:r w:rsidRPr="0048162D">
        <w:rPr>
          <w:rFonts w:cs="Times New Roman"/>
          <w:b/>
          <w:noProof/>
        </w:rPr>
        <w:t xml:space="preserve">Caso Vidal Vs. </w:t>
      </w:r>
      <w:r w:rsidRPr="004A4C8E">
        <w:rPr>
          <w:rFonts w:cs="Times New Roman"/>
          <w:b/>
          <w:noProof/>
          <w:lang w:val="es-MX"/>
        </w:rPr>
        <w:t>Belgrado</w:t>
      </w:r>
      <w:r w:rsidRPr="004A4C8E">
        <w:rPr>
          <w:noProof/>
          <w:lang w:val="es-MX"/>
        </w:rPr>
        <w:tab/>
        <w:t>30</w:t>
      </w:r>
    </w:p>
    <w:p w:rsidR="004A4C8E" w:rsidRPr="00D86445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8162D">
        <w:rPr>
          <w:rFonts w:cs="Times New Roman"/>
          <w:noProof/>
          <w:lang w:val="es-ES"/>
        </w:rPr>
        <w:t xml:space="preserve">TEDH. </w:t>
      </w:r>
      <w:r w:rsidRPr="0048162D">
        <w:rPr>
          <w:rFonts w:cs="Times New Roman"/>
          <w:b/>
          <w:iCs/>
          <w:noProof/>
          <w:lang w:val="es-ES"/>
        </w:rPr>
        <w:t xml:space="preserve">Caso X y Y Vs. </w:t>
      </w:r>
      <w:r w:rsidRPr="00D86445">
        <w:rPr>
          <w:rFonts w:cs="Times New Roman"/>
          <w:b/>
          <w:iCs/>
          <w:noProof/>
        </w:rPr>
        <w:t>Países Bajos</w:t>
      </w:r>
      <w:r w:rsidRPr="00D86445">
        <w:rPr>
          <w:noProof/>
        </w:rPr>
        <w:tab/>
        <w:t>27</w:t>
      </w:r>
    </w:p>
    <w:p w:rsidR="004A4C8E" w:rsidRDefault="004A4C8E">
      <w:pPr>
        <w:pStyle w:val="TableofAuthorities"/>
        <w:tabs>
          <w:tab w:val="right" w:leader="dot" w:pos="9350"/>
        </w:tabs>
        <w:rPr>
          <w:noProof/>
        </w:rPr>
      </w:pPr>
      <w:r w:rsidRPr="004A4C8E">
        <w:rPr>
          <w:noProof/>
          <w:lang w:val="en-US"/>
        </w:rPr>
        <w:t xml:space="preserve">TEDH. </w:t>
      </w:r>
      <w:r w:rsidRPr="004A4C8E">
        <w:rPr>
          <w:b/>
          <w:noProof/>
          <w:lang w:val="en-US"/>
        </w:rPr>
        <w:t xml:space="preserve">Torreggiani and others Vs. </w:t>
      </w:r>
      <w:r w:rsidRPr="0048162D">
        <w:rPr>
          <w:b/>
          <w:noProof/>
        </w:rPr>
        <w:t>Italy</w:t>
      </w:r>
      <w:r>
        <w:rPr>
          <w:noProof/>
        </w:rPr>
        <w:tab/>
        <w:t>22</w:t>
      </w:r>
    </w:p>
    <w:p w:rsidR="003E78E7" w:rsidRPr="007D475E" w:rsidRDefault="002B62D4" w:rsidP="003E78E7">
      <w:pPr>
        <w:pStyle w:val="TOAHeading"/>
        <w:rPr>
          <w:noProof/>
        </w:rPr>
      </w:pPr>
      <w:r w:rsidRPr="00744F6B">
        <w:fldChar w:fldCharType="end"/>
      </w:r>
      <w:r w:rsidRPr="00744F6B">
        <w:fldChar w:fldCharType="begin"/>
      </w:r>
      <w:r w:rsidR="0064568D" w:rsidRPr="00744F6B">
        <w:instrText xml:space="preserve"> TOA \h \c "2" </w:instrText>
      </w:r>
      <w:r w:rsidRPr="00744F6B">
        <w:fldChar w:fldCharType="separate"/>
      </w:r>
    </w:p>
    <w:p w:rsidR="003E78E7" w:rsidRPr="007D475E" w:rsidRDefault="003E78E7">
      <w:pPr>
        <w:pStyle w:val="TableofAuthorities"/>
        <w:tabs>
          <w:tab w:val="right" w:leader="dot" w:pos="9350"/>
        </w:tabs>
        <w:rPr>
          <w:noProof/>
        </w:rPr>
      </w:pPr>
    </w:p>
    <w:p w:rsidR="009E7540" w:rsidRPr="007D475E" w:rsidRDefault="002B62D4" w:rsidP="001E3B82">
      <w:pPr>
        <w:suppressLineNumbers/>
        <w:rPr>
          <w:rFonts w:ascii="Times New Roman" w:hAnsi="Times New Roman" w:cs="Times New Roman"/>
        </w:rPr>
      </w:pPr>
      <w:r w:rsidRPr="00744F6B">
        <w:rPr>
          <w:rFonts w:ascii="Times New Roman" w:eastAsia="Times New Roman" w:hAnsi="Times New Roman" w:cs="Times New Roman"/>
          <w:b/>
          <w:bCs/>
        </w:rPr>
        <w:fldChar w:fldCharType="end"/>
      </w:r>
    </w:p>
    <w:p w:rsidR="006A4E71" w:rsidRPr="007D475E" w:rsidRDefault="009E7540" w:rsidP="00005661">
      <w:pPr>
        <w:pStyle w:val="Estilo1"/>
        <w:jc w:val="center"/>
        <w:rPr>
          <w:rFonts w:cs="Times New Roman"/>
          <w:szCs w:val="24"/>
        </w:rPr>
      </w:pPr>
      <w:r w:rsidRPr="007D475E">
        <w:rPr>
          <w:rFonts w:cs="Times New Roman"/>
          <w:szCs w:val="24"/>
        </w:rPr>
        <w:br w:type="page"/>
      </w:r>
      <w:bookmarkStart w:id="2" w:name="_Toc383412267"/>
      <w:r w:rsidR="006A4E71" w:rsidRPr="007D475E">
        <w:rPr>
          <w:rFonts w:cs="Times New Roman"/>
          <w:szCs w:val="24"/>
        </w:rPr>
        <w:lastRenderedPageBreak/>
        <w:t>LISTA DE SIGLAS</w:t>
      </w:r>
      <w:bookmarkEnd w:id="2"/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D475E">
        <w:rPr>
          <w:rFonts w:ascii="Times New Roman" w:hAnsi="Times New Roman" w:cs="Times New Roman"/>
        </w:rPr>
        <w:t>Art(s).</w:t>
      </w:r>
      <w:r w:rsidRPr="007D475E">
        <w:rPr>
          <w:rFonts w:ascii="Times New Roman" w:hAnsi="Times New Roman" w:cs="Times New Roman"/>
        </w:rPr>
        <w:tab/>
      </w:r>
      <w:r w:rsidRPr="00744F6B">
        <w:rPr>
          <w:rFonts w:ascii="Times New Roman" w:hAnsi="Times New Roman" w:cs="Times New Roman"/>
        </w:rPr>
        <w:t xml:space="preserve">Artigo(s) 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§(§§)</w:t>
      </w:r>
      <w:r w:rsidRPr="00744F6B">
        <w:rPr>
          <w:rFonts w:ascii="Times New Roman" w:hAnsi="Times New Roman" w:cs="Times New Roman"/>
        </w:rPr>
        <w:tab/>
        <w:t xml:space="preserve">Parágrafo(s) 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CADH</w:t>
      </w:r>
      <w:r w:rsidRPr="00744F6B">
        <w:rPr>
          <w:rFonts w:ascii="Times New Roman" w:hAnsi="Times New Roman" w:cs="Times New Roman"/>
        </w:rPr>
        <w:tab/>
        <w:t>Convenção Americana sobre Direitos Humanos</w:t>
      </w:r>
    </w:p>
    <w:p w:rsidR="002B0649" w:rsidRPr="00744F6B" w:rsidRDefault="002B0649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  <w:i/>
          <w:lang w:val="en-US"/>
        </w:rPr>
      </w:pPr>
      <w:r w:rsidRPr="00744F6B">
        <w:rPr>
          <w:rFonts w:ascii="Times New Roman" w:hAnsi="Times New Roman" w:cs="Times New Roman"/>
          <w:lang w:val="en-US"/>
        </w:rPr>
        <w:t>CEDAW</w:t>
      </w:r>
      <w:r w:rsidRPr="00744F6B">
        <w:rPr>
          <w:rFonts w:ascii="Times New Roman" w:hAnsi="Times New Roman" w:cs="Times New Roman"/>
          <w:lang w:val="en-US"/>
        </w:rPr>
        <w:tab/>
      </w:r>
      <w:r w:rsidRPr="00744F6B">
        <w:rPr>
          <w:rFonts w:ascii="Times New Roman" w:hAnsi="Times New Roman" w:cs="Times New Roman"/>
          <w:i/>
          <w:lang w:val="en-US"/>
        </w:rPr>
        <w:t>Committee on the Elimination of Discrimination Against Women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CC</w:t>
      </w:r>
      <w:r w:rsidRPr="00744F6B">
        <w:rPr>
          <w:rFonts w:ascii="Times New Roman" w:hAnsi="Times New Roman" w:cs="Times New Roman"/>
        </w:rPr>
        <w:tab/>
      </w:r>
      <w:r w:rsidRPr="00744F6B">
        <w:rPr>
          <w:rFonts w:ascii="Times New Roman" w:hAnsi="Times New Roman" w:cs="Times New Roman"/>
          <w:bCs/>
        </w:rPr>
        <w:t>Código Civil de Exclutia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CCE</w:t>
      </w:r>
      <w:r w:rsidRPr="00744F6B">
        <w:rPr>
          <w:rFonts w:ascii="Times New Roman" w:hAnsi="Times New Roman" w:cs="Times New Roman"/>
        </w:rPr>
        <w:tab/>
        <w:t>Corte Constitucional de Exclutia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CDPD</w:t>
      </w:r>
      <w:r w:rsidRPr="00744F6B">
        <w:rPr>
          <w:rFonts w:ascii="Times New Roman" w:hAnsi="Times New Roman" w:cs="Times New Roman"/>
        </w:rPr>
        <w:tab/>
        <w:t>Convenção sobre os Direitos das Pessoas com Deficiência (ONU/2006)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CEDH</w:t>
      </w:r>
      <w:r w:rsidRPr="00744F6B">
        <w:rPr>
          <w:rFonts w:ascii="Times New Roman" w:hAnsi="Times New Roman" w:cs="Times New Roman"/>
        </w:rPr>
        <w:tab/>
        <w:t>Convenção Europeia dos Direitos do Homem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CEDM</w:t>
      </w:r>
      <w:r w:rsidRPr="00744F6B">
        <w:rPr>
          <w:rFonts w:ascii="Times New Roman" w:hAnsi="Times New Roman" w:cs="Times New Roman"/>
        </w:rPr>
        <w:tab/>
      </w:r>
      <w:r w:rsidRPr="00744F6B">
        <w:rPr>
          <w:rFonts w:ascii="Times New Roman" w:hAnsi="Times New Roman" w:cs="Times New Roman"/>
          <w:color w:val="000000"/>
        </w:rPr>
        <w:t>Comitê</w:t>
      </w:r>
      <w:r w:rsidRPr="00744F6B">
        <w:rPr>
          <w:rFonts w:ascii="Times New Roman" w:hAnsi="Times New Roman" w:cs="Times New Roman"/>
          <w:bCs/>
        </w:rPr>
        <w:t xml:space="preserve"> para a Eliminação da Discriminação contra as Mulheres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CIEPPD</w:t>
      </w:r>
      <w:r w:rsidRPr="00744F6B">
        <w:rPr>
          <w:rFonts w:ascii="Times New Roman" w:hAnsi="Times New Roman" w:cs="Times New Roman"/>
        </w:rPr>
        <w:tab/>
        <w:t>Convenção Interamericana para a Eliminação de todas as formas de Discriminação contra a Pessoa Portadora de Deficiência – Convenção da Guatemala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CONADISE</w:t>
      </w:r>
      <w:r w:rsidRPr="00744F6B">
        <w:rPr>
          <w:rFonts w:ascii="Times New Roman" w:hAnsi="Times New Roman" w:cs="Times New Roman"/>
        </w:rPr>
        <w:tab/>
        <w:t>Conselho Nacional de Pessoas com Deficiência de Exclutia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CmIDH</w:t>
      </w:r>
      <w:r w:rsidRPr="00744F6B">
        <w:rPr>
          <w:rFonts w:ascii="Times New Roman" w:hAnsi="Times New Roman" w:cs="Times New Roman"/>
        </w:rPr>
        <w:tab/>
        <w:t>Comissão Interamericana de Direitos Humanos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CoDESC</w:t>
      </w:r>
      <w:r w:rsidRPr="00744F6B">
        <w:rPr>
          <w:rFonts w:ascii="Times New Roman" w:hAnsi="Times New Roman" w:cs="Times New Roman"/>
        </w:rPr>
        <w:tab/>
        <w:t>Comitê de Direitos Econômicos, Sociais e Culturais da ONU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CrIDH</w:t>
      </w:r>
      <w:r w:rsidRPr="00744F6B">
        <w:rPr>
          <w:rFonts w:ascii="Times New Roman" w:hAnsi="Times New Roman" w:cs="Times New Roman"/>
        </w:rPr>
        <w:tab/>
        <w:t>Corte Interamericana de Direitos Humanos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CRPD</w:t>
      </w:r>
      <w:r w:rsidRPr="00744F6B">
        <w:rPr>
          <w:rFonts w:ascii="Times New Roman" w:hAnsi="Times New Roman" w:cs="Times New Roman"/>
        </w:rPr>
        <w:tab/>
        <w:t>Convenção sobre os Direitos das Pessoas Deficientes da ONU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CRPEPD</w:t>
      </w:r>
      <w:r w:rsidRPr="00744F6B">
        <w:rPr>
          <w:rFonts w:ascii="Times New Roman" w:hAnsi="Times New Roman" w:cs="Times New Roman"/>
        </w:rPr>
        <w:tab/>
        <w:t>Convenção sobre Reabilitação Profissional e Emprego de Pessoas Deficientes - Convenção nº 159 da OIT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CVDT</w:t>
      </w:r>
      <w:r w:rsidRPr="00744F6B">
        <w:rPr>
          <w:rFonts w:ascii="Times New Roman" w:hAnsi="Times New Roman" w:cs="Times New Roman"/>
        </w:rPr>
        <w:tab/>
        <w:t>Convenção de Viena sobre Direito dos Tratados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DEDD</w:t>
      </w:r>
      <w:r w:rsidRPr="00744F6B">
        <w:rPr>
          <w:rFonts w:ascii="Times New Roman" w:hAnsi="Times New Roman" w:cs="Times New Roman"/>
        </w:rPr>
        <w:tab/>
        <w:t>Declaração dos Direitos dos Deficientes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  <w:bCs/>
          <w:lang w:val="en-US"/>
        </w:rPr>
      </w:pPr>
      <w:r w:rsidRPr="00744F6B">
        <w:rPr>
          <w:rFonts w:ascii="Times New Roman" w:hAnsi="Times New Roman" w:cs="Times New Roman"/>
          <w:lang w:val="en-US"/>
        </w:rPr>
        <w:t>ICJ</w:t>
      </w:r>
      <w:r w:rsidRPr="00744F6B">
        <w:rPr>
          <w:rFonts w:ascii="Times New Roman" w:hAnsi="Times New Roman" w:cs="Times New Roman"/>
          <w:lang w:val="en-US"/>
        </w:rPr>
        <w:tab/>
      </w:r>
      <w:r w:rsidRPr="00744F6B">
        <w:rPr>
          <w:rFonts w:ascii="Times New Roman" w:hAnsi="Times New Roman" w:cs="Times New Roman"/>
          <w:i/>
          <w:lang w:val="en-US"/>
        </w:rPr>
        <w:t>Internacional Court of Justice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  <w:lang w:val="en-US"/>
        </w:rPr>
      </w:pPr>
      <w:r w:rsidRPr="00744F6B">
        <w:rPr>
          <w:rFonts w:ascii="Times New Roman" w:hAnsi="Times New Roman" w:cs="Times New Roman"/>
          <w:bCs/>
          <w:lang w:val="en-US"/>
        </w:rPr>
        <w:lastRenderedPageBreak/>
        <w:t>IPPF</w:t>
      </w:r>
      <w:r w:rsidRPr="00744F6B">
        <w:rPr>
          <w:rFonts w:ascii="Times New Roman" w:hAnsi="Times New Roman" w:cs="Times New Roman"/>
          <w:bCs/>
          <w:lang w:val="en-US"/>
        </w:rPr>
        <w:tab/>
      </w:r>
      <w:r w:rsidRPr="00744F6B">
        <w:rPr>
          <w:rFonts w:ascii="Times New Roman" w:hAnsi="Times New Roman" w:cs="Times New Roman"/>
          <w:bCs/>
          <w:i/>
          <w:lang w:val="en-US"/>
        </w:rPr>
        <w:t>International Planned Parenthood Federation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MC</w:t>
      </w:r>
      <w:r w:rsidRPr="00744F6B">
        <w:rPr>
          <w:rFonts w:ascii="Times New Roman" w:hAnsi="Times New Roman" w:cs="Times New Roman"/>
        </w:rPr>
        <w:tab/>
        <w:t>Medidas Cautelares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MP</w:t>
      </w:r>
      <w:r w:rsidRPr="00744F6B">
        <w:rPr>
          <w:rFonts w:ascii="Times New Roman" w:hAnsi="Times New Roman" w:cs="Times New Roman"/>
        </w:rPr>
        <w:tab/>
        <w:t>Ministério Público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NUIOPD</w:t>
      </w:r>
      <w:r w:rsidRPr="00744F6B">
        <w:rPr>
          <w:rFonts w:ascii="Times New Roman" w:hAnsi="Times New Roman" w:cs="Times New Roman"/>
        </w:rPr>
        <w:tab/>
        <w:t>Normas Uniformes sobre a Igualdade de Oportunidades para as Pessoas com Deficiência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Exclutia</w:t>
      </w:r>
      <w:r w:rsidRPr="00744F6B">
        <w:rPr>
          <w:rFonts w:ascii="Times New Roman" w:hAnsi="Times New Roman" w:cs="Times New Roman"/>
        </w:rPr>
        <w:tab/>
        <w:t>República Democrática de Exclutia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OEA</w:t>
      </w:r>
      <w:r w:rsidRPr="00744F6B">
        <w:rPr>
          <w:rFonts w:ascii="Times New Roman" w:hAnsi="Times New Roman" w:cs="Times New Roman"/>
        </w:rPr>
        <w:tab/>
        <w:t>Organização dos Estados Americanos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ODNEI</w:t>
      </w:r>
      <w:r w:rsidRPr="00744F6B">
        <w:rPr>
          <w:rFonts w:ascii="Times New Roman" w:hAnsi="Times New Roman" w:cs="Times New Roman"/>
        </w:rPr>
        <w:tab/>
        <w:t>Organização de Direitos Humanos de Pessoas Portadoras de Deficiência – “Deficiência não é Incapacidade”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  <w:bCs/>
        </w:rPr>
      </w:pPr>
      <w:r w:rsidRPr="00744F6B">
        <w:rPr>
          <w:rFonts w:ascii="Times New Roman" w:hAnsi="Times New Roman" w:cs="Times New Roman"/>
        </w:rPr>
        <w:t>PDESC</w:t>
      </w:r>
      <w:r w:rsidRPr="00744F6B">
        <w:rPr>
          <w:rFonts w:ascii="Times New Roman" w:hAnsi="Times New Roman" w:cs="Times New Roman"/>
        </w:rPr>
        <w:tab/>
        <w:t>Pacto Internacional dos Direitos Econômicos, Sociais e Culturais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  <w:bCs/>
        </w:rPr>
        <w:t>PIDCP</w:t>
      </w:r>
      <w:r w:rsidRPr="00744F6B">
        <w:rPr>
          <w:rFonts w:ascii="Times New Roman" w:hAnsi="Times New Roman" w:cs="Times New Roman"/>
          <w:bCs/>
        </w:rPr>
        <w:tab/>
        <w:t>Pacto Internacional sobre Direitos Civis e Políticos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SIDH</w:t>
      </w:r>
      <w:r w:rsidRPr="00744F6B">
        <w:rPr>
          <w:rFonts w:ascii="Times New Roman" w:hAnsi="Times New Roman" w:cs="Times New Roman"/>
        </w:rPr>
        <w:tab/>
        <w:t>Sistema Interamericano de Direitos Humanos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TAI</w:t>
      </w:r>
      <w:r w:rsidRPr="00744F6B">
        <w:rPr>
          <w:rFonts w:ascii="Times New Roman" w:hAnsi="Times New Roman" w:cs="Times New Roman"/>
        </w:rPr>
        <w:tab/>
        <w:t>Tribunal de Apelação de Inclutiarán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TEDH</w:t>
      </w:r>
      <w:r w:rsidRPr="00744F6B">
        <w:rPr>
          <w:rFonts w:ascii="Times New Roman" w:hAnsi="Times New Roman" w:cs="Times New Roman"/>
        </w:rPr>
        <w:tab/>
        <w:t>Tribunal Europeu de Direitos Humanos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STC</w:t>
      </w:r>
      <w:r w:rsidRPr="00744F6B">
        <w:rPr>
          <w:rFonts w:ascii="Times New Roman" w:hAnsi="Times New Roman" w:cs="Times New Roman"/>
        </w:rPr>
        <w:tab/>
        <w:t>Segunda Turma de Constitucionalidade de Exclutia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  <w:bCs/>
        </w:rPr>
      </w:pPr>
      <w:r w:rsidRPr="00744F6B">
        <w:rPr>
          <w:rFonts w:ascii="Times New Roman" w:hAnsi="Times New Roman" w:cs="Times New Roman"/>
        </w:rPr>
        <w:t>UNCAT</w:t>
      </w:r>
      <w:r w:rsidRPr="00744F6B">
        <w:rPr>
          <w:rFonts w:ascii="Times New Roman" w:hAnsi="Times New Roman" w:cs="Times New Roman"/>
        </w:rPr>
        <w:tab/>
        <w:t>Convenção contra Tortura e Outra Cruel, Desumana ou Degradante Tratamento ou Punição</w:t>
      </w:r>
    </w:p>
    <w:p w:rsidR="006A4E71" w:rsidRPr="00744F6B" w:rsidRDefault="006A4E71" w:rsidP="001E3B82">
      <w:pPr>
        <w:suppressLineNumbers/>
        <w:tabs>
          <w:tab w:val="left" w:leader="dot" w:pos="2268"/>
        </w:tabs>
        <w:spacing w:line="480" w:lineRule="auto"/>
        <w:ind w:left="2268" w:hanging="2268"/>
        <w:jc w:val="both"/>
        <w:rPr>
          <w:rFonts w:ascii="Times New Roman" w:hAnsi="Times New Roman" w:cs="Times New Roman"/>
          <w:bCs/>
        </w:rPr>
      </w:pPr>
      <w:r w:rsidRPr="00744F6B">
        <w:rPr>
          <w:rFonts w:ascii="Times New Roman" w:hAnsi="Times New Roman" w:cs="Times New Roman"/>
          <w:bCs/>
        </w:rPr>
        <w:t>UNDP</w:t>
      </w:r>
      <w:r w:rsidRPr="00744F6B">
        <w:rPr>
          <w:rFonts w:ascii="Times New Roman" w:hAnsi="Times New Roman" w:cs="Times New Roman"/>
          <w:bCs/>
        </w:rPr>
        <w:tab/>
        <w:t>Declaração Internacional das Nações Unidas sobre os Direitos das Pessoas com Deficiência</w:t>
      </w:r>
    </w:p>
    <w:p w:rsidR="006A4E71" w:rsidRPr="00744F6B" w:rsidRDefault="0012182C" w:rsidP="00511B3C">
      <w:pPr>
        <w:suppressLineNumbers/>
        <w:tabs>
          <w:tab w:val="left" w:leader="dot" w:pos="2268"/>
        </w:tabs>
        <w:spacing w:after="200" w:line="480" w:lineRule="auto"/>
        <w:jc w:val="center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  <w:bCs/>
        </w:rPr>
        <w:br w:type="page"/>
      </w:r>
      <w:r w:rsidR="006A4E71" w:rsidRPr="00744F6B">
        <w:rPr>
          <w:rFonts w:ascii="Times New Roman" w:hAnsi="Times New Roman" w:cs="Times New Roman"/>
          <w:b/>
        </w:rPr>
        <w:lastRenderedPageBreak/>
        <w:t>EXCELENTÍSSIMO SENHOR JUIZ PRESIDENTE DA HONORÁVEL CORTE INTERAMERICANA DE DIREITOS HUMANOS</w:t>
      </w:r>
    </w:p>
    <w:p w:rsidR="006A4E71" w:rsidRPr="00744F6B" w:rsidRDefault="006A4E71" w:rsidP="00511B3C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Considerando a convocação da Honorável CrIDH, para audiência pública referente ao Caso Cristal Tovar Vs. República Democrática de Exclutia, vem respeitosamente, apresentar o memorial em defesa da vítima, Srta. Cristal Tovar, representada pela Organização de Direitos Humanos de Pessoas Portadoras de Deficiência – Deficiência não é Incapacidade –, contendo: o relatório dos fatos e fundamentos legais consonantes à admissibilidade, à concessão d</w:t>
      </w:r>
      <w:r w:rsidR="00E94261">
        <w:rPr>
          <w:rFonts w:ascii="Times New Roman" w:hAnsi="Times New Roman" w:cs="Times New Roman"/>
          <w:sz w:val="24"/>
          <w:szCs w:val="24"/>
        </w:rPr>
        <w:t>e Medida Provisória, ao mérito,</w:t>
      </w:r>
      <w:r w:rsidRPr="00744F6B">
        <w:rPr>
          <w:rFonts w:ascii="Times New Roman" w:hAnsi="Times New Roman" w:cs="Times New Roman"/>
          <w:sz w:val="24"/>
          <w:szCs w:val="24"/>
        </w:rPr>
        <w:t xml:space="preserve"> às reparações </w:t>
      </w:r>
      <w:r w:rsidR="00E94261">
        <w:rPr>
          <w:rFonts w:ascii="Times New Roman" w:hAnsi="Times New Roman" w:cs="Times New Roman"/>
          <w:sz w:val="24"/>
          <w:szCs w:val="24"/>
        </w:rPr>
        <w:t xml:space="preserve">e às solicitações de assistência </w:t>
      </w:r>
      <w:r w:rsidRPr="00744F6B">
        <w:rPr>
          <w:rFonts w:ascii="Times New Roman" w:hAnsi="Times New Roman" w:cs="Times New Roman"/>
          <w:sz w:val="24"/>
          <w:szCs w:val="24"/>
        </w:rPr>
        <w:t>previstas na CADH.</w:t>
      </w:r>
    </w:p>
    <w:p w:rsidR="006A4E71" w:rsidRPr="00744F6B" w:rsidRDefault="006A4E71" w:rsidP="00005661">
      <w:pPr>
        <w:pStyle w:val="Estilo1"/>
        <w:rPr>
          <w:rFonts w:cs="Times New Roman"/>
          <w:szCs w:val="24"/>
        </w:rPr>
      </w:pPr>
      <w:bookmarkStart w:id="3" w:name="_Toc383412268"/>
      <w:r w:rsidRPr="00744F6B">
        <w:rPr>
          <w:rFonts w:cs="Times New Roman"/>
          <w:szCs w:val="24"/>
        </w:rPr>
        <w:t>1 DECLARAÇÃO DOS FATOS</w:t>
      </w:r>
      <w:bookmarkEnd w:id="3"/>
    </w:p>
    <w:p w:rsidR="00511B3C" w:rsidRPr="00744F6B" w:rsidRDefault="006A4E71" w:rsidP="00B4072C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 República Democrática de Exclutia é um Estado independente, democrático, situado no continente americano. A partir do Censo Demográfico de 2010, verifica-se que possui alta desigualdade social, pois a população está dividida em: 10% detém 80% do capital; 30% é considerada pobre; 13% de deficientes; 10% representa o povo indígena Nikic, 7% de afrodescendentes; e, a maioria é mestiça.</w:t>
      </w:r>
    </w:p>
    <w:p w:rsidR="008F7916" w:rsidRPr="00744F6B" w:rsidRDefault="006A4E71" w:rsidP="00B4072C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Exclutia é membro da OEA desde 30/4/1948. Ratificou a CADH, aceitando a jurisdição contenciosa da CrIDH em 10/12/1989. Ademais, é Estado-Parte da CIEPPD desde 2008, reconhecendo, no ordenamento jurídico, todos os tratados de direitos humanos que foram ratificados em nível hierárquico constitucional.</w:t>
      </w:r>
    </w:p>
    <w:p w:rsidR="008F7916" w:rsidRPr="00744F6B" w:rsidRDefault="006A4E71" w:rsidP="00B4072C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 vítima, Srta. Cristal Tovar, mulher, cega, 33 anos, reside em Inclutiarán, capital de Exclutia, abandonada pelo pai aos 15 anos, deixou os estudos devido à falta de preparo da escola pública para recebê-la e pela ausência de recursos para pagar educação especial. Após a morte da mãe em abril de 2006, a quem dependia financeiramente, não consegui</w:t>
      </w:r>
      <w:r w:rsidR="004315D2">
        <w:rPr>
          <w:rFonts w:ascii="Times New Roman" w:hAnsi="Times New Roman" w:cs="Times New Roman"/>
          <w:sz w:val="24"/>
          <w:szCs w:val="24"/>
        </w:rPr>
        <w:t>u</w:t>
      </w:r>
      <w:r w:rsidRPr="00744F6B">
        <w:rPr>
          <w:rFonts w:ascii="Times New Roman" w:hAnsi="Times New Roman" w:cs="Times New Roman"/>
          <w:sz w:val="24"/>
          <w:szCs w:val="24"/>
        </w:rPr>
        <w:t xml:space="preserve"> emprego, pois enfrentou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>dificuldades para ingressar no mercado de trabalho devido à deficiência.</w:t>
      </w:r>
      <w:r w:rsidR="003E68AD" w:rsidRPr="00744F6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Em situação de pobreza, sem poder pagar o aluguel, notificada de despejo em 12/6/2006 e não querendo ir para o centro residencial indicado pelo CONADISE foi morar na rua.</w:t>
      </w:r>
    </w:p>
    <w:p w:rsidR="008F7916" w:rsidRPr="00744F6B" w:rsidRDefault="006A4E71" w:rsidP="00B4072C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Em 3/8/2006, a vítima foi abordada por uma patrulha policial, que a levou para “La Casita”, centro estatal que funciona à portas fechadas e recebe pessoas moradoras de rua com deficiência, criada na década de cinquenta, com capacidade para até quatrocentas pessoas.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44F6B">
        <w:rPr>
          <w:rFonts w:ascii="Times New Roman" w:hAnsi="Times New Roman" w:cs="Times New Roman"/>
          <w:sz w:val="24"/>
          <w:szCs w:val="24"/>
        </w:rPr>
        <w:t>La Casita” em termos gerais possui estrutura precária, para o atendimento e tratamento dos residentes. Destacam-se entre as características: faltam objetos para necessidades básicas; a comida servida não é de qualidade</w:t>
      </w:r>
      <w:r w:rsidR="004315D2">
        <w:rPr>
          <w:rFonts w:ascii="Times New Roman" w:hAnsi="Times New Roman" w:cs="Times New Roman"/>
          <w:sz w:val="24"/>
          <w:szCs w:val="24"/>
        </w:rPr>
        <w:t xml:space="preserve"> e quantidade insuficiente</w:t>
      </w:r>
      <w:r w:rsidRPr="00744F6B">
        <w:rPr>
          <w:rFonts w:ascii="Times New Roman" w:hAnsi="Times New Roman" w:cs="Times New Roman"/>
          <w:sz w:val="24"/>
          <w:szCs w:val="24"/>
        </w:rPr>
        <w:t>; racionamento de água pela manhã; possui sete áreas divididas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por gênero e deficiência. Ainda, nas áreas ocupadas por indivíduos com deficiência intelectual e mental existem dois quartos com espaço insuficiente (2m²/cada), onde eram mantidos em regime de isolamento.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Ao chegar em “La Casita”, a Srta. Tovar teve seu formulário preenchido pela assistente social, que entrou em contato com familiares, os quais afirmaram a impossibilidade de se responsabilizar por ela, devido à insuficiência de recursos econômicos. Na sequência o psiquiatra de “La Casita” achou que a vítima portava transtorno de ânimo, diagnosticando-a com depressão severa. Diante destas avaliações a Dra. Lira, diretora da instituição, aprovou a internação da vítima na área correspondente a mulheres com deficiência mental e intelectual.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 Srta. Tovar ao ingressar em “La Casita” teve seu cabelo raspado e por meio da conversa com outras residentes, teve conhecimento da falta de roupas limpas e adequadas ao tamanho, assim como ausência de sapatos. Algumas alegaram estar no local há 20 anos. Em certas situações, a vítima testemunhou ao menos três isolamentos involuntários de outros residentes.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 xml:space="preserve">Em 26/8/2006, a Dra. Lira apresentou o pedido de interdição da vítima a VI Vara Cível de Inclutiarán, nos termos </w:t>
      </w:r>
      <w:r w:rsidRPr="00744F6B">
        <w:rPr>
          <w:rFonts w:ascii="Times New Roman" w:hAnsi="Times New Roman" w:cs="Times New Roman"/>
          <w:bCs/>
          <w:sz w:val="24"/>
          <w:szCs w:val="24"/>
        </w:rPr>
        <w:t>do CC</w:t>
      </w:r>
      <w:r w:rsidRPr="00744F6B">
        <w:rPr>
          <w:rFonts w:ascii="Times New Roman" w:hAnsi="Times New Roman" w:cs="Times New Roman"/>
          <w:sz w:val="24"/>
          <w:szCs w:val="24"/>
        </w:rPr>
        <w:t>, Lei n° 1.160/97, Seção IV, art. 41. Três dias depois, foi solicitada perícia psiquiátrica, que confirmou o laudo realizado pelo psiquiatra de “La Casita”.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Após análise do depoime</w:t>
      </w:r>
      <w:r w:rsidR="007F25DE">
        <w:rPr>
          <w:rFonts w:ascii="Times New Roman" w:hAnsi="Times New Roman" w:cs="Times New Roman"/>
          <w:sz w:val="24"/>
          <w:szCs w:val="24"/>
        </w:rPr>
        <w:t>nto da Dra. Lira, documentos e</w:t>
      </w:r>
      <w:r w:rsidRPr="00744F6B">
        <w:rPr>
          <w:rFonts w:ascii="Times New Roman" w:hAnsi="Times New Roman" w:cs="Times New Roman"/>
          <w:sz w:val="24"/>
          <w:szCs w:val="24"/>
        </w:rPr>
        <w:t xml:space="preserve"> perícia, no dia 29/9/2006 foi declarada interdição da Srta. Tovar, nomeando a diretora de “La Casita” como curadora.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Devido ao diagnóstico de depressão, a vítima passou a receber tratamento com antidepressivos. Concomitantemente, recebe sem consentimento injeção contraceptiva, sob a justificativa de fazer parte de seu tratamento.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No dia 1º/9/2007, a Srta. Tovar se dirigiu ao consultório médico com alguns sintomas e foi aconselhada a tomar outros psicotrópicos.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No dia 26/9/2007, devido à alucinações, à febre, ao espasmo muscular e aos fortes tremores parkinsonianos, a vítima foi internada com urgência no Hospital Nacional Raúl Cano, onde desenvolveu uma relação de confiança com Ângela, a enfermeira, a quem contou a situação em “La Casita”. Após o relato, Ângela notificou sua irmã, Mirtha Sicha, advogada da ODNEI, a qual imediatamente foi ao hospital, para ouvir a vítima.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No dia 21/2/2008 foi apresentado pela ODNEI Recurso de Nulidade da interdição da vítima, porém, o juiz de origem julgou-o improcedente pela falta de legitimidade, pois de acordo com o </w:t>
      </w:r>
      <w:r w:rsidRPr="00744F6B">
        <w:rPr>
          <w:rFonts w:ascii="Times New Roman" w:hAnsi="Times New Roman" w:cs="Times New Roman"/>
          <w:bCs/>
          <w:sz w:val="24"/>
          <w:szCs w:val="24"/>
        </w:rPr>
        <w:t>CC</w:t>
      </w:r>
      <w:r w:rsidRPr="00744F6B">
        <w:rPr>
          <w:rFonts w:ascii="Times New Roman" w:hAnsi="Times New Roman" w:cs="Times New Roman"/>
          <w:sz w:val="24"/>
          <w:szCs w:val="24"/>
        </w:rPr>
        <w:t xml:space="preserve">, apenas o </w:t>
      </w:r>
      <w:r w:rsidRPr="00744F6B">
        <w:rPr>
          <w:rFonts w:ascii="Times New Roman" w:hAnsi="Times New Roman" w:cs="Times New Roman"/>
          <w:bCs/>
          <w:sz w:val="24"/>
          <w:szCs w:val="24"/>
        </w:rPr>
        <w:t>MP</w:t>
      </w:r>
      <w:r w:rsidRPr="00744F6B">
        <w:rPr>
          <w:rFonts w:ascii="Times New Roman" w:hAnsi="Times New Roman" w:cs="Times New Roman"/>
          <w:sz w:val="24"/>
          <w:szCs w:val="24"/>
        </w:rPr>
        <w:t xml:space="preserve"> ou a curadora poderiam pedir revisão ou revogação da interdição.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No dia 1/10/2008, a ODNEI apresentou Apelação ao TAI. Oportunamente a Dra. Lira relatou que a Srta. Tovar recebia o melhor tratamento médico adequado. Em 19/4/2008 o TAI negou a Apelação, argumentando falta de dem</w:t>
      </w:r>
      <w:r w:rsidR="004C4C6D" w:rsidRPr="00744F6B">
        <w:rPr>
          <w:rFonts w:ascii="Times New Roman" w:hAnsi="Times New Roman" w:cs="Times New Roman"/>
          <w:sz w:val="24"/>
          <w:szCs w:val="24"/>
        </w:rPr>
        <w:t>onstração de abuso da curadora.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>Paralelamente a ODNEI propôs Recurso de Amparo, no dia 2/11/2008, perante a STC, sobre as condições desumanas em “La Casita”, a qual reconheceu e proveu em 2/12/2008, exigindo melhorias por parte do Estado, nas condições da instituição.</w:t>
      </w:r>
    </w:p>
    <w:p w:rsidR="008F7916" w:rsidRPr="00744F6B" w:rsidRDefault="006A4E71" w:rsidP="004C4C6D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No dia 1/9/2009 foi apresentada petição a CmIDH pela ODNEI, apontando os danos causados à vítima e acompanhada da solicitação de MC aos residentes de “La Casita”, as quais foram outorgadas um mês depois. O Estado alegou por via de memorando de observações a inadmissibilidade da petição, com fulcro no art. 46.1.a da CADH e rejeitou as alegadas violações suscitadas pelos representantes das vítimas.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O Relatório de Admissibilidade foi emitido declarando admissíveis as violações. A audiência pública ocorreu no dia 25/10/2012, adotando Relatório de Mérito, concluindo que houve violações de direitos humanos por parte do Estado, assim como foi emitido recomendações para prevenir e evitar a continuação das violações.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Exclutia solicitou a CmIDH, no dia 13/6/2013, prorrogação para cumprir as recomendações, sob o fundamento de que o Congresso elaborou um projeto de lei de alteração do art. 41 do CC. A CmIDH concedeu a prorrogação no dia 14/6/2013.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 segunda solicitação de aditamento foi negada, pois a CmIDH entendeu que o Estado não cumpriu as recomendações. Desta forma apresentou o caso a CrIDH em 14/8/2013, acrescentando em nota a CrIDH que o projeto de lei não estava de acordo com os padrões internacionais de direitos humanos. Em contrapartida Exclutia encaminhou resposta exceção preliminar em relação a temporariedade (CADH, art. 46.1.a) à apresentação do caso.</w:t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No dia 6/4/2014, a ODNEI e a Srta. Tovar estavam reunidas em “La Casita”, para conversar sobre o caso, quando duas residentes informaram que uma amiga faleceu. Com esta notícia começou a chorar e gritar, e, ao repelir um funcionário com um empurrão, foi colocada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>por quatro horas no quarto de isolamento involuntário. Diante desta situação a ODNEI solicitou a CrIDH a concessão de medidas provisórias, contando com o apoio da CmIDH.</w:t>
      </w:r>
    </w:p>
    <w:p w:rsidR="006A4E71" w:rsidRPr="00744F6B" w:rsidRDefault="0078749E" w:rsidP="00B4072C">
      <w:pPr>
        <w:pStyle w:val="Title"/>
        <w:spacing w:before="200"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83412269"/>
      <w:r w:rsidRPr="00744F6B">
        <w:rPr>
          <w:rFonts w:ascii="Times New Roman" w:hAnsi="Times New Roman" w:cs="Times New Roman"/>
          <w:sz w:val="24"/>
          <w:szCs w:val="24"/>
        </w:rPr>
        <w:t>2 </w:t>
      </w:r>
      <w:r w:rsidR="006A4E71" w:rsidRPr="00744F6B">
        <w:rPr>
          <w:rFonts w:ascii="Times New Roman" w:hAnsi="Times New Roman" w:cs="Times New Roman"/>
          <w:sz w:val="24"/>
          <w:szCs w:val="24"/>
        </w:rPr>
        <w:t>ANÁLISE LEGAL</w:t>
      </w:r>
      <w:bookmarkEnd w:id="4"/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O presente caso é relevante para o SIDH, tendo em vista o tratamento desumano e discriminatório contra os deficientes que ocorrem de forma constante em “La Casita”, violando direitos e liberdades previstas nos arts. 1.1, 2º, 3º, 5º, 7º, 8.1, 11, 17</w:t>
      </w:r>
      <w:r w:rsidR="007F25DE">
        <w:rPr>
          <w:rFonts w:ascii="Times New Roman" w:hAnsi="Times New Roman" w:cs="Times New Roman"/>
          <w:sz w:val="24"/>
          <w:szCs w:val="24"/>
        </w:rPr>
        <w:t>,</w:t>
      </w:r>
      <w:r w:rsidRPr="00744F6B">
        <w:rPr>
          <w:rFonts w:ascii="Times New Roman" w:hAnsi="Times New Roman" w:cs="Times New Roman"/>
          <w:sz w:val="24"/>
          <w:szCs w:val="24"/>
        </w:rPr>
        <w:t xml:space="preserve"> 24, 25.1 e 26 da CADH, entre outros diplomas internacionais de proteção dos direitos humanos das pessoas deficientes. Não apenas contra a vítima, Srta. Tovar, mas também aos demais pacientes que estão no local, pelos argumentos que se passam a expor.</w:t>
      </w:r>
    </w:p>
    <w:p w:rsidR="006A4E71" w:rsidRPr="00744F6B" w:rsidRDefault="0078749E" w:rsidP="0078749E">
      <w:pPr>
        <w:pStyle w:val="Estilo20"/>
        <w:outlineLvl w:val="1"/>
        <w:rPr>
          <w:rFonts w:cs="Times New Roman"/>
          <w:szCs w:val="24"/>
        </w:rPr>
      </w:pPr>
      <w:bookmarkStart w:id="5" w:name="_Toc383412270"/>
      <w:r w:rsidRPr="00744F6B">
        <w:rPr>
          <w:rFonts w:cs="Times New Roman"/>
          <w:szCs w:val="24"/>
        </w:rPr>
        <w:t>2.1 </w:t>
      </w:r>
      <w:r w:rsidR="006A4E71" w:rsidRPr="00744F6B">
        <w:rPr>
          <w:rFonts w:cs="Times New Roman"/>
          <w:szCs w:val="24"/>
        </w:rPr>
        <w:t>DA CONCESSÃO DA MEDIDA PROVISÓRIA</w:t>
      </w:r>
      <w:bookmarkEnd w:id="5"/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Antecedendo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744F6B">
        <w:rPr>
          <w:rFonts w:ascii="Times New Roman" w:hAnsi="Times New Roman" w:cs="Times New Roman"/>
          <w:sz w:val="24"/>
          <w:szCs w:val="24"/>
        </w:rPr>
        <w:t>análise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dos dispositivos violados da CADH por Exclutia contra a Srta. Tovar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, expõem-se as razões da solicitação da concessão de Medida Provisória à Honorável CrIDH, do dia 18/4/2014, com fulcro nos arts. 63.2 da CADH e 25.1 do Regulamento da CrIDH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, conforme legitimidade da ODNEI prevista no art. 25 do Regulamento da CmIDH, quando direitos e liberdades protegidas pela CADH estão sob grave ameaça por conta de atos do Estado, ensejando tutela de urgência, a fim de evitar danos irreparáveis às vítimas.</w:t>
      </w:r>
      <w:r w:rsidRPr="00744F6B">
        <w:rPr>
          <w:rStyle w:val="Refdenotaderodap5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No caso em tela, antes da solicitação da concessão de Medida Provisória, a CmIDH outorgou MC, no dia 1/10/2009, em favor das pessoas residentes em “La Casita”, a fim de que Exclutia fizesse cessar a prática recorrente de isolamento involuntário.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O art. 1.1 do CADH determina que o Estado-parte tem o dever de respeitar os direitos e liberdades previstas na CADH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. Entretanto, este dever não foi satisfeito por Exclutia, pois mesmo após mais de quatro anos da vigência das MC, Exclutia não aboliu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a política de isolamento involuntário praticado por “La Casita”, como demonstrou o fato presenciado pelos representantes da vítima no dia 6/4/2014.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Em 14/8/2013 </w:t>
      </w:r>
      <w:r w:rsidRPr="00744F6B">
        <w:rPr>
          <w:rFonts w:ascii="Times New Roman" w:hAnsi="Times New Roman" w:cs="Times New Roman"/>
          <w:sz w:val="24"/>
          <w:szCs w:val="24"/>
        </w:rPr>
        <w:t>a CmIDH enviou comunicado a CrIDH que Exclutia não informou quais foram as medidas adotadas para atender as recomendações do Relatório de Mérito No. 12/13. Portanto, não demonstrou em nenhum momento a intenção de prevenir e cessar com as possíveis violações, conforme a última notícia de isolamento voluntário do dia 6/4/2014.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Mediante o descumprimento da CADH, bem como considerando que a vítima está sob tutela estatal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, busca-se com os efeitos preventivos da Medida Provisória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interromper as violações sofridas pela Srta. Tovar e demais residentes de “La Casita".</w:t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Contudo, vale ressaltar que alegação de indeferimento do pedido de medidas provisórias pela CrIDH, não obsta o conhecimento do mérito das violações e também não impede o exercício de outros meios de monitoramento pela CmIDH das violações a CADH, pois “[...] não implica que o Estado está dispensado de suas obrigações convencionais de proteção [...]”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E71" w:rsidRPr="00744F6B" w:rsidRDefault="0078749E" w:rsidP="0078749E">
      <w:pPr>
        <w:pStyle w:val="Estilo20"/>
        <w:outlineLvl w:val="1"/>
        <w:rPr>
          <w:rFonts w:cs="Times New Roman"/>
          <w:color w:val="000000"/>
          <w:szCs w:val="24"/>
        </w:rPr>
      </w:pPr>
      <w:bookmarkStart w:id="6" w:name="_Toc383412271"/>
      <w:r w:rsidRPr="00744F6B">
        <w:rPr>
          <w:rFonts w:cs="Times New Roman"/>
          <w:szCs w:val="24"/>
        </w:rPr>
        <w:t>2.2 </w:t>
      </w:r>
      <w:r w:rsidR="0012182C" w:rsidRPr="00744F6B">
        <w:rPr>
          <w:rFonts w:cs="Times New Roman"/>
          <w:szCs w:val="24"/>
        </w:rPr>
        <w:t>DA</w:t>
      </w:r>
      <w:r w:rsidR="006A4E71" w:rsidRPr="00744F6B">
        <w:rPr>
          <w:rFonts w:cs="Times New Roman"/>
          <w:szCs w:val="24"/>
        </w:rPr>
        <w:t xml:space="preserve"> ADMISSIBILIDADE DO CASO</w:t>
      </w:r>
      <w:bookmarkEnd w:id="6"/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Preliminarmente</w:t>
      </w:r>
      <w:r w:rsidRPr="00744F6B">
        <w:rPr>
          <w:rFonts w:ascii="Times New Roman" w:hAnsi="Times New Roman" w:cs="Times New Roman"/>
          <w:sz w:val="24"/>
          <w:szCs w:val="24"/>
        </w:rPr>
        <w:t>, aponta-se que esta CrIDH é competente para analisar a demanda em razão: a) do lugar - justifica-se pela ocorrência de violações no território do Estado-parte que possibilita a sua responsabilização perante o SIDH (CVDT, art. 29); b) da matéria – refere-se à atribuição da CrIDH condicionada ao reconhecimento da competência contenciosa por parte do Estado-parte, para conhecer casos em que envolvam violações aos dispositivos da CADH e outros diplomas legais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9"/>
      </w:r>
      <w:r w:rsidRPr="00744F6B">
        <w:rPr>
          <w:rFonts w:ascii="Times New Roman" w:hAnsi="Times New Roman" w:cs="Times New Roman"/>
          <w:sz w:val="24"/>
          <w:szCs w:val="24"/>
        </w:rPr>
        <w:t xml:space="preserve"> (</w:t>
      </w:r>
      <w:r w:rsidR="0012182C" w:rsidRPr="00744F6B">
        <w:rPr>
          <w:rFonts w:ascii="Times New Roman" w:hAnsi="Times New Roman" w:cs="Times New Roman"/>
          <w:sz w:val="24"/>
          <w:szCs w:val="24"/>
        </w:rPr>
        <w:t xml:space="preserve">CADH, </w:t>
      </w:r>
      <w:r w:rsidRPr="00744F6B">
        <w:rPr>
          <w:rFonts w:ascii="Times New Roman" w:hAnsi="Times New Roman" w:cs="Times New Roman"/>
          <w:sz w:val="24"/>
          <w:szCs w:val="24"/>
        </w:rPr>
        <w:t>art. 62.3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10"/>
      </w:r>
      <w:r w:rsidRPr="00744F6B">
        <w:rPr>
          <w:rFonts w:ascii="Times New Roman" w:hAnsi="Times New Roman" w:cs="Times New Roman"/>
          <w:sz w:val="24"/>
          <w:szCs w:val="24"/>
        </w:rPr>
        <w:t xml:space="preserve">); c) das pessoas - as vítimas residentes de </w:t>
      </w:r>
      <w:r w:rsidRPr="00744F6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744F6B">
        <w:rPr>
          <w:rFonts w:ascii="Times New Roman" w:hAnsi="Times New Roman" w:cs="Times New Roman"/>
          <w:iCs/>
          <w:sz w:val="24"/>
          <w:szCs w:val="24"/>
        </w:rPr>
        <w:t>La Casita</w:t>
      </w:r>
      <w:r w:rsidRPr="00744F6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744F6B">
        <w:rPr>
          <w:rFonts w:ascii="Times New Roman" w:hAnsi="Times New Roman" w:cs="Times New Roman"/>
          <w:sz w:val="24"/>
          <w:szCs w:val="24"/>
        </w:rPr>
        <w:t xml:space="preserve"> permaneceram todo o tempo sob a jurisdição do Estado parte, satisfazendo a necessidade de identificação das vítimas, para acessar o SIDH; e, d) do tempo – os fatos ocorreram após o reconhecimento da competência contenciosa da CrIDH, portanto não contraria o princípio da irretroatividade (CVDT, art. 28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11"/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e CADH, 62,1</w:t>
      </w:r>
      <w:r w:rsidRPr="00744F6B">
        <w:rPr>
          <w:rStyle w:val="Refdenotaderodap5"/>
          <w:rFonts w:ascii="Times New Roman" w:hAnsi="Times New Roman" w:cs="Times New Roman"/>
          <w:color w:val="000000"/>
          <w:sz w:val="24"/>
          <w:szCs w:val="24"/>
        </w:rPr>
        <w:footnoteReference w:id="12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Não há litispendência internacional (CADH, art. 46.1.c), pois o caso não foi apresentado outro processo de solução internacional. Tampouco reproduz petição ou comunicação anteriormente examinada pela CmIDH ou outro organismo internacional (CADH, art. 47.d)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13"/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Houve esgotamento dos recursos internos já analisado pela CmIDH (CADH, art. 46.1.a). Além disso a jurisprudência da CrIDH demonstra os critérios a serem contemplados para afastar esta exceção de preliminar, a saber: </w:t>
      </w:r>
    </w:p>
    <w:p w:rsidR="006A4E71" w:rsidRPr="00744F6B" w:rsidRDefault="006A4E71" w:rsidP="001E3B82">
      <w:pPr>
        <w:suppressLineNumbers/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a) quanto à reserva a CADH, na qual o Estado-parte pode renunciar expressa ou tacitamente a competência da CrIDH, o que não ocorreu no caso;</w:t>
      </w:r>
    </w:p>
    <w:p w:rsidR="006A4E71" w:rsidRPr="00744F6B" w:rsidRDefault="006A4E71" w:rsidP="001E3B82">
      <w:pPr>
        <w:suppressLineNumbers/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 xml:space="preserve">b) dever do Estado-parte em se pronunciar durante a etapa de admissibilidade do procedimento perante a CmIDH. Neste pleito, o Estado renunciou tacitamente, pois não apresentou a exceção </w:t>
      </w:r>
      <w:r w:rsidRPr="00744F6B">
        <w:rPr>
          <w:rFonts w:ascii="Times New Roman" w:hAnsi="Times New Roman" w:cs="Times New Roman"/>
        </w:rPr>
        <w:lastRenderedPageBreak/>
        <w:t>de esgotamento dos recursos internos no momento oportuno; e,</w:t>
      </w:r>
    </w:p>
    <w:p w:rsidR="008F7916" w:rsidRPr="00744F6B" w:rsidRDefault="006A4E71" w:rsidP="008F7916">
      <w:pPr>
        <w:suppressLineNumbers/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c) cabe ao Estado-parte indicar quais os recursos disponíveis e a respectiva efetividade na tutela de direitos dos seus jurisdicionados. Segundo jurisprudência da CrIDH</w:t>
      </w:r>
      <w:r w:rsidRPr="00744F6B">
        <w:rPr>
          <w:rStyle w:val="Refdenotaderodap5"/>
          <w:rFonts w:ascii="Times New Roman" w:hAnsi="Times New Roman" w:cs="Times New Roman"/>
        </w:rPr>
        <w:footnoteReference w:id="14"/>
      </w:r>
      <w:r w:rsidRPr="00744F6B">
        <w:rPr>
          <w:rFonts w:ascii="Times New Roman" w:hAnsi="Times New Roman" w:cs="Times New Roman"/>
        </w:rPr>
        <w:t>, não se pode considerar a alegação genérica de não esgotamento dos recursos internos, devendo o Estado especificar o recurso adequado e efetivo disponível à parte.</w:t>
      </w:r>
      <w:r w:rsidRPr="00744F6B">
        <w:rPr>
          <w:rStyle w:val="Refdenotaderodap1"/>
          <w:rFonts w:ascii="Times New Roman" w:hAnsi="Times New Roman" w:cs="Times New Roman"/>
        </w:rPr>
        <w:footnoteReference w:id="15"/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Também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merece</w:t>
      </w:r>
      <w:r w:rsidRPr="00744F6B">
        <w:rPr>
          <w:rFonts w:ascii="Times New Roman" w:hAnsi="Times New Roman" w:cs="Times New Roman"/>
          <w:sz w:val="24"/>
          <w:szCs w:val="24"/>
        </w:rPr>
        <w:t xml:space="preserve"> afastamento a alegação do Estado-parte quanto ao desrespeito do prazo de seis meses, chamada caducidade da denúncia (CADH, 46.1.b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16"/>
      </w:r>
      <w:r w:rsidRPr="00744F6B">
        <w:rPr>
          <w:rFonts w:ascii="Times New Roman" w:hAnsi="Times New Roman" w:cs="Times New Roman"/>
          <w:sz w:val="24"/>
          <w:szCs w:val="24"/>
        </w:rPr>
        <w:t>) contados a partir da decisão definitiva proferida por jurisdição interna do Estado-parte, com base nos seguintes fundamentos:</w:t>
      </w:r>
    </w:p>
    <w:p w:rsidR="006A4E71" w:rsidRPr="00744F6B" w:rsidRDefault="006A4E71" w:rsidP="001E3B82">
      <w:pPr>
        <w:suppressLineNumbers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a) o recurso de amparo não visa atender a tutela específica da vítima e outros residentes de “La Casita”, pois somente declara o reconhecimento de cunho obrigacional do Estado em garantir melhorias estruturais e investimentos no aperfeiçoamento dos serviços públicos prestados, portanto não poderá ser considerada como garantia de recurso de tutela específica em nome das vítimas, nem ser considerada solução efetiva;</w:t>
      </w:r>
      <w:r w:rsidRPr="00744F6B">
        <w:rPr>
          <w:rStyle w:val="Refdenotaderodap1"/>
          <w:rFonts w:ascii="Times New Roman" w:hAnsi="Times New Roman" w:cs="Times New Roman"/>
        </w:rPr>
        <w:footnoteReference w:id="17"/>
      </w:r>
    </w:p>
    <w:p w:rsidR="006A4E71" w:rsidRPr="00744F6B" w:rsidRDefault="006A4E71" w:rsidP="001E3B82">
      <w:pPr>
        <w:suppressLineNumbers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b) a ação de inconstitucionalidade perante a CCE, da mesma forma que a justificativa anterior, não visa atender a tutela específica das vítimas, mas uma análise em abstrato da revogação de interdição, que conforme justificativa anterior, não é reconhecida pela CrIDH;</w:t>
      </w:r>
      <w:r w:rsidRPr="00744F6B">
        <w:rPr>
          <w:rStyle w:val="Refdenotaderodap1"/>
          <w:rFonts w:ascii="Times New Roman" w:hAnsi="Times New Roman" w:cs="Times New Roman"/>
        </w:rPr>
        <w:footnoteReference w:id="18"/>
      </w:r>
    </w:p>
    <w:p w:rsidR="006A4E71" w:rsidRPr="00744F6B" w:rsidRDefault="006A4E71" w:rsidP="001E3B82">
      <w:pPr>
        <w:suppressLineNumbers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c) a apelação proposta sobre a negação de provimento do recurso de nulidade, cujo objetivo tinha por reformar a sentença de manutenção de interdição da vítima e livrar ela das violações perpetradas pelo Estado-parte, foi publicada no dia 19/4/2009, a menos de seis meses do peticionamento do ODNEI a CmIDH, recebido em 1/9/2009.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>O procedimento adotado pela CmIDH (CADH, arts. 44 a 51) em decorrência da autonomia e da independência do órgão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19"/>
      </w:r>
      <w:r w:rsidRPr="00744F6B">
        <w:rPr>
          <w:rFonts w:ascii="Times New Roman" w:hAnsi="Times New Roman" w:cs="Times New Roman"/>
          <w:sz w:val="24"/>
          <w:szCs w:val="24"/>
        </w:rPr>
        <w:t>, resultou no recebimento da petição, declarando admissíveis as supostas violações a CADH. Posteriormente concluiu existirem as violações a CADH alegadas pelos peticionários no Relatório de Mérito, em observância ao art. 61.2 da CADH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20"/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Além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destes</w:t>
      </w:r>
      <w:r w:rsidRPr="00744F6B">
        <w:rPr>
          <w:rFonts w:ascii="Times New Roman" w:hAnsi="Times New Roman" w:cs="Times New Roman"/>
          <w:sz w:val="24"/>
          <w:szCs w:val="24"/>
        </w:rPr>
        <w:t xml:space="preserve"> pontos analisados, cabe ressaltar que a CmIDH encaminhou o presente caso a CrIDH dentro prazo estabelecido no art. 51 da CADH, pois concedeu aditamento ao Estado, no dia 14/6/2013, de dois meses, prorrogando o prazo final de apresentação do caso a CrIDH de 14/6/2013 para 14/8/2013. Assim, o Estado não pode invocar o descumprimento do citado artigo, por ser uma conduta contraditória aos princípios do equilíbrio processual, da igualdade processual e da boa-fé objetiva.</w:t>
      </w:r>
      <w:r w:rsidRPr="00744F6B">
        <w:rPr>
          <w:rStyle w:val="Refdenotaderodap1"/>
          <w:rFonts w:ascii="Times New Roman" w:hAnsi="Times New Roman" w:cs="Times New Roman"/>
          <w:sz w:val="24"/>
          <w:szCs w:val="24"/>
        </w:rPr>
        <w:footnoteReference w:id="21"/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Neste sentido, afastam-se as exceções preliminares</w:t>
      </w:r>
      <w:r w:rsidRPr="00744F6B">
        <w:rPr>
          <w:rStyle w:val="Refdenotaderodap1"/>
          <w:rFonts w:ascii="Times New Roman" w:hAnsi="Times New Roman" w:cs="Times New Roman"/>
          <w:color w:val="000000"/>
          <w:sz w:val="24"/>
          <w:szCs w:val="24"/>
        </w:rPr>
        <w:footnoteReference w:id="22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do Estado e evidencia-se a ausência de erro grave que vulnere o direito de defesa das partes</w:t>
      </w:r>
      <w:r w:rsidRPr="00744F6B">
        <w:rPr>
          <w:rStyle w:val="Refdenotaderodap1"/>
          <w:rFonts w:ascii="Times New Roman" w:hAnsi="Times New Roman" w:cs="Times New Roman"/>
          <w:color w:val="000000"/>
          <w:sz w:val="24"/>
          <w:szCs w:val="24"/>
        </w:rPr>
        <w:footnoteReference w:id="23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E71" w:rsidRPr="00744F6B" w:rsidRDefault="006A4E71" w:rsidP="00B4072C">
      <w:pPr>
        <w:pStyle w:val="Estilo20"/>
        <w:outlineLvl w:val="1"/>
        <w:rPr>
          <w:rFonts w:cs="Times New Roman"/>
          <w:color w:val="000000"/>
          <w:szCs w:val="24"/>
        </w:rPr>
      </w:pPr>
      <w:bookmarkStart w:id="7" w:name="_Toc383412272"/>
      <w:r w:rsidRPr="00744F6B">
        <w:rPr>
          <w:rFonts w:cs="Times New Roman"/>
          <w:szCs w:val="24"/>
        </w:rPr>
        <w:t>2.3 DO DESENVOLVIMENTO PROGRESSIVO DA PROMOÇÃO DOS DIREITOS HUMANOS E DA IGUALDADE RELACIONADO COM O DEVER DO ESTADO DE ADOTAR DISPOSIÇÕES DE DIREITO INTERNO – ARTS. 2º, 24 E 26 DA CADH</w:t>
      </w:r>
      <w:bookmarkEnd w:id="7"/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Primeiramente</w:t>
      </w:r>
      <w:r w:rsidRPr="00744F6B">
        <w:rPr>
          <w:rFonts w:ascii="Times New Roman" w:hAnsi="Times New Roman" w:cs="Times New Roman"/>
          <w:sz w:val="24"/>
          <w:szCs w:val="24"/>
        </w:rPr>
        <w:t xml:space="preserve">, faz-se necessário relatar que a vítima chegou ao local devido à ausente promoção de políticas públicas eficientes de inclusão social, ligadas às áreas de educação e trabalho por parte do Estado aos deficientes físicos, mentais e psicológicos, grupo vulnerável a atos discriminatórios. Em decorrência da inobservância do Estado em cumprir o art. 26 da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>CADH, o qual estabelece os direitos ao trabalho sem discriminação e à educação com assistência, como forma de inclusão social.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 Srta. Tovar sob estas condições não teve como adquirir recursos econômicos necessários para prover o próprio sustento e não havendo vontade de abrigar-se num centro residencial, restou-lhe somente a opção de morar na rua.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As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políticas</w:t>
      </w:r>
      <w:r w:rsidRPr="00744F6B">
        <w:rPr>
          <w:rFonts w:ascii="Times New Roman" w:hAnsi="Times New Roman" w:cs="Times New Roman"/>
          <w:sz w:val="24"/>
          <w:szCs w:val="24"/>
        </w:rPr>
        <w:t xml:space="preserve"> públicas adotadas devem garantir a acessibilidade aos deficientes e, neste sentido, a CDPD e a CIEPPD, obrigam o Estado a garantir políticas públicas efetivas para os direitos dos mais vulneráveis, garantindo-lhes uma vida digna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24"/>
      </w:r>
      <w:r w:rsidRPr="00744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Exclutia,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apesar</w:t>
      </w:r>
      <w:r w:rsidRPr="00744F6B">
        <w:rPr>
          <w:rFonts w:ascii="Times New Roman" w:hAnsi="Times New Roman" w:cs="Times New Roman"/>
          <w:sz w:val="24"/>
          <w:szCs w:val="24"/>
        </w:rPr>
        <w:t xml:space="preserve"> de alegar a existência de programas sociais, não atende efetivamente a população deficiente, conforme o testemunho de funcionário da CONADISE. Um exemplo disso é que a única alternativa disponível para atender as necessidades da Srta. Tovar é </w:t>
      </w:r>
      <w:r w:rsidR="00FA1D37">
        <w:rPr>
          <w:rFonts w:ascii="Times New Roman" w:hAnsi="Times New Roman" w:cs="Times New Roman"/>
          <w:sz w:val="24"/>
          <w:szCs w:val="24"/>
        </w:rPr>
        <w:t xml:space="preserve">a existência de somente </w:t>
      </w:r>
      <w:r w:rsidRPr="00744F6B">
        <w:rPr>
          <w:rFonts w:ascii="Times New Roman" w:hAnsi="Times New Roman" w:cs="Times New Roman"/>
          <w:sz w:val="24"/>
          <w:szCs w:val="24"/>
        </w:rPr>
        <w:t>uma unidade residencial oferecida pelo Estado.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Ressalta-se que o acesso ao deficiente à educação e ao mercado de trabalho é um processo importante para erradicar a pobreza, garantir a inclusão social e permitir ao indivíduo a conquista da sua independência econômica, assegurando, por conseguinte, o respeito à dignidade da pessoa humana. Porém, o que se verifica na realidade é uma situação de afronta aos direitos humanos.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situação </w:t>
      </w:r>
      <w:r w:rsidR="003E68AD" w:rsidRPr="00744F6B">
        <w:rPr>
          <w:rFonts w:ascii="Times New Roman" w:hAnsi="Times New Roman" w:cs="Times New Roman"/>
          <w:sz w:val="24"/>
          <w:szCs w:val="24"/>
        </w:rPr>
        <w:t>d</w:t>
      </w:r>
      <w:r w:rsidRPr="00744F6B">
        <w:rPr>
          <w:rFonts w:ascii="Times New Roman" w:hAnsi="Times New Roman" w:cs="Times New Roman"/>
          <w:sz w:val="24"/>
          <w:szCs w:val="24"/>
        </w:rPr>
        <w:t>a Srta. Tovar</w:t>
      </w:r>
      <w:r w:rsidR="003E68AD" w:rsidRPr="00744F6B">
        <w:rPr>
          <w:rFonts w:ascii="Times New Roman" w:hAnsi="Times New Roman" w:cs="Times New Roman"/>
          <w:sz w:val="24"/>
          <w:szCs w:val="24"/>
        </w:rPr>
        <w:t xml:space="preserve"> decorre</w:t>
      </w:r>
      <w:r w:rsidRPr="00744F6B">
        <w:rPr>
          <w:rFonts w:ascii="Times New Roman" w:hAnsi="Times New Roman" w:cs="Times New Roman"/>
          <w:sz w:val="24"/>
          <w:szCs w:val="24"/>
        </w:rPr>
        <w:t xml:space="preserve"> da ausência de ações afirmativas que viabilizam </w:t>
      </w:r>
      <w:r w:rsidR="003E68AD" w:rsidRPr="00744F6B">
        <w:rPr>
          <w:rFonts w:ascii="Times New Roman" w:hAnsi="Times New Roman" w:cs="Times New Roman"/>
          <w:sz w:val="24"/>
          <w:szCs w:val="24"/>
        </w:rPr>
        <w:t>exercício</w:t>
      </w:r>
      <w:r w:rsidRPr="00744F6B">
        <w:rPr>
          <w:rFonts w:ascii="Times New Roman" w:hAnsi="Times New Roman" w:cs="Times New Roman"/>
          <w:sz w:val="24"/>
          <w:szCs w:val="24"/>
        </w:rPr>
        <w:t xml:space="preserve"> da pessoa deficiente à educação e ao traba</w:t>
      </w:r>
      <w:r w:rsidR="003E68AD" w:rsidRPr="00744F6B">
        <w:rPr>
          <w:rFonts w:ascii="Times New Roman" w:hAnsi="Times New Roman" w:cs="Times New Roman"/>
          <w:sz w:val="24"/>
          <w:szCs w:val="24"/>
        </w:rPr>
        <w:t>lho. Desta forma, ao não viabilizar a autonomia da vítima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242D80" w:rsidRPr="00744F6B">
        <w:rPr>
          <w:rFonts w:ascii="Times New Roman" w:hAnsi="Times New Roman" w:cs="Times New Roman"/>
          <w:sz w:val="24"/>
          <w:szCs w:val="24"/>
        </w:rPr>
        <w:t>afronta a sua dignidade e honra</w:t>
      </w:r>
      <w:r w:rsidRPr="00744F6B">
        <w:rPr>
          <w:rFonts w:ascii="Times New Roman" w:hAnsi="Times New Roman" w:cs="Times New Roman"/>
          <w:sz w:val="24"/>
          <w:szCs w:val="24"/>
        </w:rPr>
        <w:t xml:space="preserve"> (CADH, art. 11</w:t>
      </w:r>
      <w:r w:rsidRPr="00744F6B">
        <w:rPr>
          <w:rFonts w:ascii="Times New Roman" w:hAnsi="Times New Roman" w:cs="Times New Roman"/>
          <w:bCs/>
          <w:sz w:val="24"/>
          <w:szCs w:val="24"/>
        </w:rPr>
        <w:t>)</w:t>
      </w:r>
      <w:r w:rsidRPr="00744F6B">
        <w:rPr>
          <w:rFonts w:ascii="Times New Roman" w:hAnsi="Times New Roman" w:cs="Times New Roman"/>
          <w:sz w:val="24"/>
          <w:szCs w:val="24"/>
        </w:rPr>
        <w:t xml:space="preserve">, </w:t>
      </w:r>
      <w:r w:rsidR="003E68AD" w:rsidRPr="00744F6B">
        <w:rPr>
          <w:rFonts w:ascii="Times New Roman" w:hAnsi="Times New Roman" w:cs="Times New Roman"/>
          <w:sz w:val="24"/>
          <w:szCs w:val="24"/>
        </w:rPr>
        <w:t>e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3E68AD"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sz w:val="24"/>
          <w:szCs w:val="24"/>
        </w:rPr>
        <w:t>demais convenções internacionais: CIEPPD, art. 3.1.a;</w:t>
      </w:r>
      <w:r w:rsidR="00D5077D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PDESC, art. 6º e 7º ; e, CDPD, art. 27.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Exclutia deve aceitar em seu ordenamento jurídico outras convenções que tratam de medidas efetivas para igualdade, participação, oportunidade e desenvolvimento às pessoas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 xml:space="preserve">deficientes, conforme </w:t>
      </w:r>
      <w:r w:rsidR="0012182C" w:rsidRPr="00744F6B">
        <w:rPr>
          <w:rFonts w:ascii="Times New Roman" w:hAnsi="Times New Roman" w:cs="Times New Roman"/>
          <w:bCs/>
          <w:sz w:val="24"/>
          <w:szCs w:val="24"/>
        </w:rPr>
        <w:t>CRPEPD e as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12182C" w:rsidRPr="00744F6B">
        <w:rPr>
          <w:rFonts w:ascii="Times New Roman" w:hAnsi="Times New Roman" w:cs="Times New Roman"/>
          <w:bCs/>
          <w:sz w:val="24"/>
          <w:szCs w:val="24"/>
        </w:rPr>
        <w:t>Declarações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de Salamanca</w:t>
      </w:r>
      <w:r w:rsidR="0012182C" w:rsidRPr="00744F6B">
        <w:rPr>
          <w:rFonts w:ascii="Times New Roman" w:hAnsi="Times New Roman" w:cs="Times New Roman"/>
          <w:sz w:val="24"/>
          <w:szCs w:val="24"/>
        </w:rPr>
        <w:t xml:space="preserve"> e a</w:t>
      </w:r>
      <w:r w:rsidRPr="00744F6B">
        <w:rPr>
          <w:rFonts w:ascii="Times New Roman" w:hAnsi="Times New Roman" w:cs="Times New Roman"/>
          <w:sz w:val="24"/>
          <w:szCs w:val="24"/>
        </w:rPr>
        <w:t xml:space="preserve"> de Madri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. Esta dispõe no art. 6º que “[...] </w:t>
      </w:r>
      <w:r w:rsidRPr="00744F6B">
        <w:rPr>
          <w:rFonts w:ascii="Times New Roman" w:hAnsi="Times New Roman" w:cs="Times New Roman"/>
          <w:sz w:val="24"/>
          <w:szCs w:val="24"/>
        </w:rPr>
        <w:t>para se conseguir a igualdade para pessoas com deficiência, o direito de não serem discriminadas deve ser complementado pelo direito de se beneficiarem das medidas projetadas para garantir sua autonomia, inserção e participação na vida da comunidade [...]”.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Pr="00744F6B">
        <w:rPr>
          <w:rFonts w:ascii="Times New Roman" w:hAnsi="Times New Roman" w:cs="Times New Roman"/>
          <w:sz w:val="24"/>
          <w:szCs w:val="24"/>
        </w:rPr>
        <w:t>, é obrigação do Estado à inclusão desse grupo vulnerável por meio de “[...] igualdade de condições, oportunidade e participações em todas as esferas da sociedade”</w:t>
      </w:r>
      <w:r w:rsidRPr="00744F6B">
        <w:rPr>
          <w:rStyle w:val="Refdenotaderodap5"/>
          <w:rFonts w:ascii="Times New Roman" w:hAnsi="Times New Roman" w:cs="Times New Roman"/>
          <w:sz w:val="24"/>
          <w:szCs w:val="24"/>
        </w:rPr>
        <w:footnoteReference w:id="25"/>
      </w:r>
      <w:r w:rsidRPr="00744F6B">
        <w:rPr>
          <w:rFonts w:ascii="Times New Roman" w:hAnsi="Times New Roman" w:cs="Times New Roman"/>
          <w:sz w:val="24"/>
          <w:szCs w:val="24"/>
        </w:rPr>
        <w:t>, sendo necessário adotar ações afirmativas para erradicar obstáculos à inclusão das pessoas com deficiência na sociedade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26"/>
      </w:r>
      <w:r w:rsidRPr="00744F6B">
        <w:rPr>
          <w:rFonts w:ascii="Times New Roman" w:hAnsi="Times New Roman" w:cs="Times New Roman"/>
          <w:sz w:val="24"/>
          <w:szCs w:val="24"/>
        </w:rPr>
        <w:t>. Isto se daria por meio de medidas de caráter legislativo, social, educativo, laboral e demais índoles n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ecessárias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27"/>
      </w:r>
      <w:r w:rsidR="008F7916" w:rsidRPr="00744F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Além disso, conforme o caso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Acevedo Buendía</w:t>
      </w:r>
      <w:r w:rsidRPr="00744F6B">
        <w:rPr>
          <w:rFonts w:ascii="Times New Roman" w:hAnsi="Times New Roman" w:cs="Times New Roman"/>
          <w:sz w:val="24"/>
          <w:szCs w:val="24"/>
        </w:rPr>
        <w:t xml:space="preserve"> e Outros vs. Peru: “[...] [os] direitos econômicos, sociais e culturais, [...] devem ser entendidos plenamente como direitos humanos, sem hierarquia entre si e aplicáveis em todos os casos para as autoridades que são competentes para fazê-lo [...]”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28"/>
      </w:r>
      <w:r w:rsidRPr="00744F6B">
        <w:rPr>
          <w:rFonts w:ascii="Times New Roman" w:hAnsi="Times New Roman" w:cs="Times New Roman"/>
          <w:sz w:val="24"/>
          <w:szCs w:val="24"/>
        </w:rPr>
        <w:t>, devendo a interpretação da CADH ser estendida para o campo dos direitos sociais e econômicos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29"/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t>.</w:t>
      </w:r>
      <w:r w:rsidRPr="00744F6B">
        <w:rPr>
          <w:rFonts w:ascii="Times New Roman" w:hAnsi="Times New Roman" w:cs="Times New Roman"/>
          <w:sz w:val="24"/>
          <w:szCs w:val="24"/>
        </w:rPr>
        <w:t xml:space="preserve"> No caso Fulan e Familiares Vs. Argentina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0"/>
      </w:r>
      <w:r w:rsidRPr="00744F6B">
        <w:rPr>
          <w:rFonts w:ascii="Times New Roman" w:hAnsi="Times New Roman" w:cs="Times New Roman"/>
          <w:sz w:val="24"/>
          <w:szCs w:val="24"/>
        </w:rPr>
        <w:t>, a CrIDH decidiu que o Estado deve promover pr</w:t>
      </w:r>
      <w:r w:rsidR="008767A5">
        <w:rPr>
          <w:rFonts w:ascii="Times New Roman" w:hAnsi="Times New Roman" w:cs="Times New Roman"/>
          <w:sz w:val="24"/>
          <w:szCs w:val="24"/>
        </w:rPr>
        <w:t>á</w:t>
      </w:r>
      <w:r w:rsidRPr="00744F6B">
        <w:rPr>
          <w:rFonts w:ascii="Times New Roman" w:hAnsi="Times New Roman" w:cs="Times New Roman"/>
          <w:sz w:val="24"/>
          <w:szCs w:val="24"/>
        </w:rPr>
        <w:t>ticas de inclusão social e adotar medidas de diferenciação positivas, para remover barreiras que as pessoas com deficiência encontram cotidianamente.</w:t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Destarte, é responsabilidade do Estado realizar políticas públicas que permitem acesso do deficiente ao trabalho e à educação sem discriminação, conforme dever do Estado em adotar disposições de direito interno de adequação ao SIDH (CADH, art. 2º), com a finalidade de efetivar os direitos enunciados nos arts. 24 e 26 da CADH.</w:t>
      </w:r>
    </w:p>
    <w:p w:rsidR="006A4E71" w:rsidRPr="00744F6B" w:rsidRDefault="006A4E71" w:rsidP="0078749E">
      <w:pPr>
        <w:pStyle w:val="Estilo20"/>
        <w:numPr>
          <w:ilvl w:val="1"/>
          <w:numId w:val="7"/>
        </w:numPr>
        <w:outlineLvl w:val="1"/>
        <w:rPr>
          <w:rFonts w:cs="Times New Roman"/>
          <w:szCs w:val="24"/>
        </w:rPr>
      </w:pPr>
      <w:bookmarkStart w:id="8" w:name="_Toc383412273"/>
      <w:r w:rsidRPr="00744F6B">
        <w:rPr>
          <w:rFonts w:cs="Times New Roman"/>
          <w:szCs w:val="24"/>
        </w:rPr>
        <w:lastRenderedPageBreak/>
        <w:t>DAS VIOLAÇÕES DOS ARTS. 5°, 7º, 11 E 24 DA CADH</w:t>
      </w:r>
      <w:bookmarkEnd w:id="8"/>
    </w:p>
    <w:p w:rsidR="006A4E71" w:rsidRPr="00744F6B" w:rsidRDefault="0078749E" w:rsidP="0078749E">
      <w:pPr>
        <w:pStyle w:val="Estilo3"/>
        <w:outlineLvl w:val="2"/>
        <w:rPr>
          <w:rFonts w:cs="Times New Roman"/>
          <w:szCs w:val="24"/>
        </w:rPr>
      </w:pPr>
      <w:bookmarkStart w:id="9" w:name="_Toc383412274"/>
      <w:r w:rsidRPr="00744F6B">
        <w:rPr>
          <w:rFonts w:cs="Times New Roman"/>
          <w:szCs w:val="24"/>
        </w:rPr>
        <w:t>2.4.1 </w:t>
      </w:r>
      <w:r w:rsidR="006A4E71" w:rsidRPr="00744F6B">
        <w:rPr>
          <w:rFonts w:cs="Times New Roman"/>
          <w:szCs w:val="24"/>
        </w:rPr>
        <w:t>Tortura, Tratamento Cruel, Desumano e Degradante</w:t>
      </w:r>
      <w:bookmarkEnd w:id="9"/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situação</w:t>
      </w:r>
      <w:r w:rsidRPr="00744F6B">
        <w:rPr>
          <w:rFonts w:ascii="Times New Roman" w:hAnsi="Times New Roman" w:cs="Times New Roman"/>
          <w:sz w:val="24"/>
          <w:szCs w:val="24"/>
        </w:rPr>
        <w:t xml:space="preserve"> que Cristal Tovar enfrenta em “La Casita”, revela que os direitos à dignidade, à honra, liberdade e à integridade física são violados de maneira sistemática. Estas violações devem ser vistas de forma indissociável do direito à vida. Este não se restringe à proibição de violação, mas a proteção de uma vida digna, baseada na disponibilização de instrumentos que permitam a completa realização das potencialidades humanas, o que é violado em “La Casita”, pois os internos não têm sua autonomia respeitada. De acordo com Cançado Trindade, no voto do caso das Crianças de Rua Vs. Guatemala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1"/>
      </w:r>
      <w:r w:rsidR="00F67DED" w:rsidRPr="00744F6B">
        <w:rPr>
          <w:rFonts w:ascii="Times New Roman" w:hAnsi="Times New Roman" w:cs="Times New Roman"/>
          <w:sz w:val="24"/>
          <w:szCs w:val="24"/>
        </w:rPr>
        <w:t xml:space="preserve"> é dever do Estado realizar medidas positivas para a proteção da vida de pessoas vulneráveis e indefesas em situação de risco, pois o direito à vida deve ser entendido de maneira indivisível com direitos sociais, econômicos e culturais.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situação</w:t>
      </w:r>
      <w:r w:rsidRPr="00744F6B">
        <w:rPr>
          <w:rFonts w:ascii="Times New Roman" w:hAnsi="Times New Roman" w:cs="Times New Roman"/>
          <w:sz w:val="24"/>
          <w:szCs w:val="24"/>
        </w:rPr>
        <w:t xml:space="preserve"> que a vítima está submetida transgride a honra e dignidade (art.11, CADH), pois em relação à prote</w:t>
      </w:r>
      <w:r w:rsidR="008767A5">
        <w:rPr>
          <w:rFonts w:ascii="Times New Roman" w:hAnsi="Times New Roman" w:cs="Times New Roman"/>
          <w:sz w:val="24"/>
          <w:szCs w:val="24"/>
        </w:rPr>
        <w:t>ção aos deficientes, o direito à</w:t>
      </w:r>
      <w:r w:rsidRPr="00744F6B">
        <w:rPr>
          <w:rFonts w:ascii="Times New Roman" w:hAnsi="Times New Roman" w:cs="Times New Roman"/>
          <w:sz w:val="24"/>
          <w:szCs w:val="24"/>
        </w:rPr>
        <w:t xml:space="preserve"> dignidade requer, também, o “[...] acesso médico regular e limitação à detenção solitária [...]”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2"/>
      </w:r>
      <w:r w:rsidRPr="00744F6B">
        <w:rPr>
          <w:rFonts w:ascii="Times New Roman" w:hAnsi="Times New Roman" w:cs="Times New Roman"/>
          <w:sz w:val="24"/>
          <w:szCs w:val="24"/>
        </w:rPr>
        <w:t>. A vítima teve violada sua integridade física, moral e psicológica (CADH, art. 5º), pois esteve submetida em seu internamento compulsório a precárias condições sanitárias e físicas, que podem impedir seu desenvolvimento e aprofundar suas vulnerabilidades, conforme sequelas (físicas e psicológicas) identificados no caso Gutiérrez Soler Vs. Colômbia</w:t>
      </w:r>
      <w:r w:rsidRPr="00744F6B">
        <w:rPr>
          <w:rStyle w:val="Refdenotaderodap5"/>
          <w:rFonts w:ascii="Times New Roman" w:hAnsi="Times New Roman" w:cs="Times New Roman"/>
          <w:sz w:val="24"/>
          <w:szCs w:val="24"/>
        </w:rPr>
        <w:footnoteReference w:id="33"/>
      </w:r>
      <w:r w:rsidRPr="00744F6B">
        <w:rPr>
          <w:rFonts w:ascii="Times New Roman" w:hAnsi="Times New Roman" w:cs="Times New Roman"/>
          <w:sz w:val="24"/>
          <w:szCs w:val="24"/>
        </w:rPr>
        <w:t xml:space="preserve">, no qual a CrIDH reconheceu dano ao seu projeto de vida. 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>A detenção sem comunicação é tratamento desumano e cruel, pois causa extremo sofrimento psíquico</w:t>
      </w:r>
      <w:r w:rsidRPr="00744F6B">
        <w:rPr>
          <w:rStyle w:val="Refdenotaderodap5"/>
          <w:rFonts w:ascii="Times New Roman" w:hAnsi="Times New Roman" w:cs="Times New Roman"/>
          <w:sz w:val="24"/>
          <w:szCs w:val="24"/>
        </w:rPr>
        <w:footnoteReference w:id="34"/>
      </w:r>
      <w:r w:rsidRPr="00744F6B">
        <w:rPr>
          <w:rFonts w:ascii="Times New Roman" w:hAnsi="Times New Roman" w:cs="Times New Roman"/>
          <w:sz w:val="24"/>
          <w:szCs w:val="24"/>
        </w:rPr>
        <w:t xml:space="preserve">. Isto ocorre em “La Casita” nos quartos de isolamento, onde </w:t>
      </w:r>
      <w:r w:rsidR="0012182C" w:rsidRPr="00744F6B">
        <w:rPr>
          <w:rFonts w:ascii="Times New Roman" w:hAnsi="Times New Roman" w:cs="Times New Roman"/>
          <w:sz w:val="24"/>
          <w:szCs w:val="24"/>
        </w:rPr>
        <w:t>o interno</w:t>
      </w:r>
      <w:r w:rsidRPr="00744F6B">
        <w:rPr>
          <w:rFonts w:ascii="Times New Roman" w:hAnsi="Times New Roman" w:cs="Times New Roman"/>
          <w:sz w:val="24"/>
          <w:szCs w:val="24"/>
        </w:rPr>
        <w:t xml:space="preserve"> é detido em um quarto de 2m², </w:t>
      </w:r>
      <w:r w:rsidR="0012182C" w:rsidRPr="00744F6B">
        <w:rPr>
          <w:rFonts w:ascii="Times New Roman" w:hAnsi="Times New Roman" w:cs="Times New Roman"/>
          <w:sz w:val="24"/>
          <w:szCs w:val="24"/>
        </w:rPr>
        <w:t>pouco iluminado</w:t>
      </w:r>
      <w:r w:rsidRPr="00744F6B">
        <w:rPr>
          <w:rFonts w:ascii="Times New Roman" w:hAnsi="Times New Roman" w:cs="Times New Roman"/>
          <w:sz w:val="24"/>
          <w:szCs w:val="24"/>
        </w:rPr>
        <w:t xml:space="preserve">, </w:t>
      </w:r>
      <w:r w:rsidR="0012182C" w:rsidRPr="00744F6B">
        <w:rPr>
          <w:rFonts w:ascii="Times New Roman" w:hAnsi="Times New Roman" w:cs="Times New Roman"/>
          <w:sz w:val="24"/>
          <w:szCs w:val="24"/>
        </w:rPr>
        <w:t>com</w:t>
      </w:r>
      <w:r w:rsidRPr="00744F6B">
        <w:rPr>
          <w:rFonts w:ascii="Times New Roman" w:hAnsi="Times New Roman" w:cs="Times New Roman"/>
          <w:sz w:val="24"/>
          <w:szCs w:val="24"/>
        </w:rPr>
        <w:t xml:space="preserve"> um balde para necessidades básicas. Ao expressar sua tristeza e indignação, a </w:t>
      </w:r>
      <w:r w:rsidR="0012182C" w:rsidRPr="00744F6B">
        <w:rPr>
          <w:rFonts w:ascii="Times New Roman" w:hAnsi="Times New Roman" w:cs="Times New Roman"/>
          <w:sz w:val="24"/>
          <w:szCs w:val="24"/>
        </w:rPr>
        <w:t>vítima</w:t>
      </w:r>
      <w:r w:rsidRPr="00744F6B">
        <w:rPr>
          <w:rFonts w:ascii="Times New Roman" w:hAnsi="Times New Roman" w:cs="Times New Roman"/>
          <w:sz w:val="24"/>
          <w:szCs w:val="24"/>
        </w:rPr>
        <w:t xml:space="preserve"> foi detida neste quarto, violando sua liberdade de forma arbitrária (CADH, art. 7º)</w:t>
      </w:r>
      <w:r w:rsidRPr="008767A5">
        <w:rPr>
          <w:rFonts w:ascii="Times New Roman" w:hAnsi="Times New Roman" w:cs="Times New Roman"/>
          <w:bCs/>
          <w:sz w:val="24"/>
          <w:szCs w:val="24"/>
        </w:rPr>
        <w:t>.</w:t>
      </w:r>
      <w:r w:rsidRPr="00744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Consoante Torreggiani e outros Vs. Itália</w:t>
      </w:r>
      <w:r w:rsidRPr="00744F6B">
        <w:rPr>
          <w:rStyle w:val="Refdenotaderodap5"/>
          <w:rFonts w:ascii="Times New Roman" w:hAnsi="Times New Roman" w:cs="Times New Roman"/>
          <w:color w:val="000000"/>
          <w:sz w:val="24"/>
          <w:szCs w:val="24"/>
        </w:rPr>
        <w:footnoteReference w:id="35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a TEDH decidiu que é tratamento desumano e degradante a detenção em espaço inferior a 4m²/pessoa. 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Ainda, a CrIDH decidiu nos casos García Asto e Ramires Rojas Vs. Peru, Raxcacó Reyes Vs. Guatemala, Femín Ramirez Vs. Guatemala e Caesar Vs. Trindade e Tobago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6"/>
      </w:r>
      <w:r w:rsidRPr="00744F6B">
        <w:rPr>
          <w:rFonts w:ascii="Times New Roman" w:hAnsi="Times New Roman" w:cs="Times New Roman"/>
          <w:sz w:val="24"/>
          <w:szCs w:val="24"/>
        </w:rPr>
        <w:t xml:space="preserve"> que: “[...] em conformidade com o art. 5º da C</w:t>
      </w:r>
      <w:r w:rsidR="008767A5">
        <w:rPr>
          <w:rFonts w:ascii="Times New Roman" w:hAnsi="Times New Roman" w:cs="Times New Roman"/>
          <w:sz w:val="24"/>
          <w:szCs w:val="24"/>
        </w:rPr>
        <w:t>ADH</w:t>
      </w:r>
      <w:r w:rsidRPr="00744F6B">
        <w:rPr>
          <w:rFonts w:ascii="Times New Roman" w:hAnsi="Times New Roman" w:cs="Times New Roman"/>
          <w:sz w:val="24"/>
          <w:szCs w:val="24"/>
        </w:rPr>
        <w:t>, toda pessoa privada de liberdade tem o direito de viver em situação de detenção compatível com a dignidade da pessoa humana [...]”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7"/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Ademais</w:t>
      </w:r>
      <w:r w:rsidRPr="00744F6B">
        <w:rPr>
          <w:rFonts w:ascii="Times New Roman" w:hAnsi="Times New Roman" w:cs="Times New Roman"/>
          <w:sz w:val="24"/>
          <w:szCs w:val="24"/>
        </w:rPr>
        <w:t>, no caso Damião Ximenes, deficiente, vítima de tortura durante o tratamento médico, a CrIDH decidiu: “[...] dada a natureza potencialmente perigosa e demais dolorosa que os efeitos colaterais de medicação psicotrópicas produzem, o uso injustificado e importo da dita medicação, em contravenção dos disposto aos documentos internacionais, deve ser considerado um tratamento desumano e degradante [...]"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8"/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O tratamento que a vítima recebeu em “La Casita” foi cruel e degradante. Ademais, é tortura nos critérios do art. 1º da</w:t>
      </w:r>
      <w:r w:rsidRPr="00744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bCs/>
          <w:sz w:val="24"/>
          <w:szCs w:val="24"/>
        </w:rPr>
        <w:t>UNCAT, que</w:t>
      </w:r>
      <w:r w:rsidRPr="00744F6B">
        <w:rPr>
          <w:rFonts w:ascii="Times New Roman" w:hAnsi="Times New Roman" w:cs="Times New Roman"/>
          <w:sz w:val="24"/>
          <w:szCs w:val="24"/>
        </w:rPr>
        <w:t xml:space="preserve"> são de natureza indicativa e não exaustiva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39"/>
      </w:r>
      <w:r w:rsidRPr="00744F6B">
        <w:rPr>
          <w:rFonts w:ascii="Times New Roman" w:hAnsi="Times New Roman" w:cs="Times New Roman"/>
          <w:sz w:val="24"/>
          <w:szCs w:val="24"/>
        </w:rPr>
        <w:t xml:space="preserve">. O principal critério para caracterizar tortura é a produção de grande sofrimento, portanto, cuidados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 xml:space="preserve">médicos como recebidos pela vítima entram nesta definição, pois para além dos efeitos colaterais da medicação, o tratamento médico visava o controle da vítima e não seu bem-estar, conforme os critérios estabelecidos nos seguintes documentos: DEDD; CADH; CEDH e UNCAT. </w:t>
      </w:r>
      <w:r w:rsidR="00BF0FFF" w:rsidRPr="00744F6B">
        <w:rPr>
          <w:rFonts w:ascii="Times New Roman" w:hAnsi="Times New Roman" w:cs="Times New Roman"/>
          <w:sz w:val="24"/>
          <w:szCs w:val="24"/>
        </w:rPr>
        <w:t>S</w:t>
      </w:r>
      <w:r w:rsidR="00B93519" w:rsidRPr="00744F6B">
        <w:rPr>
          <w:rFonts w:ascii="Times New Roman" w:hAnsi="Times New Roman" w:cs="Times New Roman"/>
          <w:sz w:val="24"/>
          <w:szCs w:val="24"/>
        </w:rPr>
        <w:t xml:space="preserve">egundo a OMS, o tratamento médico dirigido a pacientes com algum tipo de deficiência </w:t>
      </w:r>
      <w:r w:rsidR="00B93519" w:rsidRPr="00744F6B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B93519" w:rsidRPr="00744F6B">
        <w:rPr>
          <w:rFonts w:ascii="Times New Roman" w:hAnsi="Times New Roman" w:cs="Times New Roman"/>
          <w:sz w:val="24"/>
          <w:szCs w:val="24"/>
        </w:rPr>
        <w:t xml:space="preserve"> visar o interesse do paciente e preservar dignidade e autonomia a fim de uma melhor qualidade de vida</w:t>
      </w:r>
      <w:r w:rsidR="00B93519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0"/>
      </w:r>
      <w:r w:rsidR="00BF0FFF" w:rsidRPr="00744F6B">
        <w:rPr>
          <w:rFonts w:ascii="Times New Roman" w:hAnsi="Times New Roman" w:cs="Times New Roman"/>
          <w:sz w:val="24"/>
          <w:szCs w:val="24"/>
        </w:rPr>
        <w:t>, o que não se verifica na prática de “La Casita”.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Além disso, segundo o TEDH (Peers Vs. Grécia e Frori Vs. Albânia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1"/>
      </w:r>
      <w:r w:rsidRPr="00744F6B">
        <w:rPr>
          <w:rFonts w:ascii="Times New Roman" w:hAnsi="Times New Roman" w:cs="Times New Roman"/>
          <w:sz w:val="24"/>
          <w:szCs w:val="24"/>
        </w:rPr>
        <w:t xml:space="preserve">) </w:t>
      </w:r>
      <w:r w:rsidR="008767A5">
        <w:rPr>
          <w:rFonts w:ascii="Times New Roman" w:hAnsi="Times New Roman" w:cs="Times New Roman"/>
          <w:sz w:val="24"/>
          <w:szCs w:val="24"/>
        </w:rPr>
        <w:t xml:space="preserve">que </w:t>
      </w:r>
      <w:r w:rsidRPr="00744F6B">
        <w:rPr>
          <w:rFonts w:ascii="Times New Roman" w:hAnsi="Times New Roman" w:cs="Times New Roman"/>
          <w:sz w:val="24"/>
          <w:szCs w:val="24"/>
        </w:rPr>
        <w:t>as violações estatais ocorrem não apenas quando há ação ou omissão que: “[...] denegriu, humilhou ou puniu as vítimas, mas quando, no entanto, esse foi o resultado [...]”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2"/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p w:rsidR="008F7916" w:rsidRPr="00744F6B" w:rsidRDefault="00242D80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Com efeito, trat</w:t>
      </w:r>
      <w:r w:rsidR="006A4E71" w:rsidRPr="00744F6B">
        <w:rPr>
          <w:rFonts w:ascii="Times New Roman" w:hAnsi="Times New Roman" w:cs="Times New Roman"/>
          <w:sz w:val="24"/>
          <w:szCs w:val="24"/>
        </w:rPr>
        <w:t>amento cruel, desumano e degradante, atinge pessoas mais vulneráveis, como os deficientes físicos, mentais ou psíquicos, agravando esta condição, ao resultar na transgressão da honra, dignidade e limitar a autonomia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3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916" w:rsidRPr="00744F6B" w:rsidRDefault="00327016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CrIDH por meio dos casos Baldeón Garcia, García Astro e Ramírez Rojas, Fermín Ramirez, Caesar, Lori Berenson Mejía, Tivi, Cantoral Bonavides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4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, </w:t>
      </w:r>
      <w:r w:rsidR="00B6747B" w:rsidRPr="00744F6B">
        <w:rPr>
          <w:rFonts w:ascii="Times New Roman" w:hAnsi="Times New Roman" w:cs="Times New Roman"/>
          <w:sz w:val="24"/>
          <w:szCs w:val="24"/>
        </w:rPr>
        <w:t>considera 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proibição de </w:t>
      </w:r>
      <w:r w:rsidR="006A4E71" w:rsidRPr="00744F6B">
        <w:rPr>
          <w:rFonts w:ascii="Times New Roman" w:hAnsi="Times New Roman" w:cs="Times New Roman"/>
          <w:sz w:val="24"/>
          <w:szCs w:val="24"/>
        </w:rPr>
        <w:lastRenderedPageBreak/>
        <w:t>tortura, tratamento c</w:t>
      </w:r>
      <w:r w:rsidR="00B6747B" w:rsidRPr="00744F6B">
        <w:rPr>
          <w:rFonts w:ascii="Times New Roman" w:hAnsi="Times New Roman" w:cs="Times New Roman"/>
          <w:sz w:val="24"/>
          <w:szCs w:val="24"/>
        </w:rPr>
        <w:t>ruel, desumano ou degradante n</w:t>
      </w:r>
      <w:r w:rsidR="006A4E71" w:rsidRPr="00744F6B">
        <w:rPr>
          <w:rFonts w:ascii="Times New Roman" w:hAnsi="Times New Roman" w:cs="Times New Roman"/>
          <w:sz w:val="24"/>
          <w:szCs w:val="24"/>
        </w:rPr>
        <w:t>o</w:t>
      </w:r>
      <w:r w:rsidR="00B6747B" w:rsidRPr="00744F6B">
        <w:rPr>
          <w:rFonts w:ascii="Times New Roman" w:hAnsi="Times New Roman" w:cs="Times New Roman"/>
          <w:sz w:val="24"/>
          <w:szCs w:val="24"/>
        </w:rPr>
        <w:t>rma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6A4E71" w:rsidRPr="00744F6B">
        <w:rPr>
          <w:rFonts w:ascii="Times New Roman" w:hAnsi="Times New Roman" w:cs="Times New Roman"/>
          <w:i/>
          <w:iCs/>
          <w:sz w:val="24"/>
          <w:szCs w:val="24"/>
        </w:rPr>
        <w:t>ius cogen</w:t>
      </w:r>
      <w:r w:rsidRPr="00744F6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6747B" w:rsidRPr="00744F6B">
        <w:rPr>
          <w:rFonts w:ascii="Times New Roman" w:hAnsi="Times New Roman" w:cs="Times New Roman"/>
          <w:iCs/>
          <w:sz w:val="24"/>
          <w:szCs w:val="24"/>
        </w:rPr>
        <w:t xml:space="preserve"> (CV, art. 53)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, </w:t>
      </w:r>
      <w:r w:rsidR="00FD21BF" w:rsidRPr="00744F6B">
        <w:rPr>
          <w:rFonts w:ascii="Times New Roman" w:hAnsi="Times New Roman" w:cs="Times New Roman"/>
          <w:sz w:val="24"/>
          <w:szCs w:val="24"/>
        </w:rPr>
        <w:t>não pode ser suspensa</w:t>
      </w:r>
      <w:r w:rsidR="00B6747B" w:rsidRPr="00744F6B">
        <w:rPr>
          <w:rFonts w:ascii="Times New Roman" w:hAnsi="Times New Roman" w:cs="Times New Roman"/>
          <w:sz w:val="24"/>
          <w:szCs w:val="24"/>
        </w:rPr>
        <w:t xml:space="preserve"> em qualquer </w:t>
      </w:r>
      <w:r w:rsidR="006A4E71" w:rsidRPr="00744F6B">
        <w:rPr>
          <w:rFonts w:ascii="Times New Roman" w:hAnsi="Times New Roman" w:cs="Times New Roman"/>
          <w:sz w:val="24"/>
          <w:szCs w:val="24"/>
        </w:rPr>
        <w:t>circunstância.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Nota</w:t>
      </w:r>
      <w:r w:rsidR="00FD21BF" w:rsidRPr="00744F6B">
        <w:rPr>
          <w:rFonts w:ascii="Times New Roman" w:hAnsi="Times New Roman" w:cs="Times New Roman"/>
          <w:sz w:val="24"/>
          <w:szCs w:val="24"/>
        </w:rPr>
        <w:t xml:space="preserve">-se </w:t>
      </w:r>
      <w:r w:rsidRPr="00744F6B">
        <w:rPr>
          <w:rFonts w:ascii="Times New Roman" w:hAnsi="Times New Roman" w:cs="Times New Roman"/>
          <w:sz w:val="24"/>
          <w:szCs w:val="24"/>
        </w:rPr>
        <w:t>que a instituição não incentiva os moradores a voltarem à sociedade, limitando individualmente as liberdades, resultando numa vida de confinamento e de forma precária</w:t>
      </w:r>
      <w:r w:rsidR="00FD21BF" w:rsidRPr="00744F6B">
        <w:rPr>
          <w:rFonts w:ascii="Times New Roman" w:hAnsi="Times New Roman" w:cs="Times New Roman"/>
          <w:sz w:val="24"/>
          <w:szCs w:val="24"/>
        </w:rPr>
        <w:t>,</w:t>
      </w:r>
      <w:r w:rsidR="00892E92" w:rsidRPr="00744F6B">
        <w:rPr>
          <w:rFonts w:ascii="Times New Roman" w:hAnsi="Times New Roman" w:cs="Times New Roman"/>
          <w:sz w:val="24"/>
          <w:szCs w:val="24"/>
        </w:rPr>
        <w:t xml:space="preserve"> conforme relatos dos internos</w:t>
      </w:r>
      <w:r w:rsidR="00FD21BF" w:rsidRPr="00744F6B">
        <w:rPr>
          <w:rFonts w:ascii="Times New Roman" w:hAnsi="Times New Roman" w:cs="Times New Roman"/>
          <w:sz w:val="24"/>
          <w:szCs w:val="24"/>
        </w:rPr>
        <w:t>.</w:t>
      </w:r>
      <w:r w:rsidR="00892E92" w:rsidRPr="00744F6B">
        <w:rPr>
          <w:rFonts w:ascii="Times New Roman" w:hAnsi="Times New Roman" w:cs="Times New Roman"/>
          <w:sz w:val="24"/>
          <w:szCs w:val="24"/>
        </w:rPr>
        <w:t xml:space="preserve"> A</w:t>
      </w:r>
      <w:r w:rsidRPr="00744F6B">
        <w:rPr>
          <w:rFonts w:ascii="Times New Roman" w:hAnsi="Times New Roman" w:cs="Times New Roman"/>
          <w:sz w:val="24"/>
          <w:szCs w:val="24"/>
        </w:rPr>
        <w:t xml:space="preserve"> submissão a tratamento médico por </w:t>
      </w:r>
      <w:r w:rsidR="00892E92" w:rsidRPr="00744F6B">
        <w:rPr>
          <w:rFonts w:ascii="Times New Roman" w:hAnsi="Times New Roman" w:cs="Times New Roman"/>
          <w:sz w:val="24"/>
          <w:szCs w:val="24"/>
        </w:rPr>
        <w:t>prazo incerto</w:t>
      </w:r>
      <w:r w:rsidRPr="00744F6B">
        <w:rPr>
          <w:rFonts w:ascii="Times New Roman" w:hAnsi="Times New Roman" w:cs="Times New Roman"/>
          <w:sz w:val="24"/>
          <w:szCs w:val="24"/>
        </w:rPr>
        <w:t>, sem previsão de saída, restri</w:t>
      </w:r>
      <w:r w:rsidR="00892E92" w:rsidRPr="00744F6B">
        <w:rPr>
          <w:rFonts w:ascii="Times New Roman" w:hAnsi="Times New Roman" w:cs="Times New Roman"/>
          <w:sz w:val="24"/>
          <w:szCs w:val="24"/>
        </w:rPr>
        <w:t>ngindo o direito de reintegrar à</w:t>
      </w:r>
      <w:r w:rsidRPr="00744F6B">
        <w:rPr>
          <w:rFonts w:ascii="Times New Roman" w:hAnsi="Times New Roman" w:cs="Times New Roman"/>
          <w:sz w:val="24"/>
          <w:szCs w:val="24"/>
        </w:rPr>
        <w:t xml:space="preserve"> sociedade</w:t>
      </w:r>
      <w:r w:rsidR="00892E92" w:rsidRPr="00744F6B">
        <w:rPr>
          <w:rFonts w:ascii="Times New Roman" w:hAnsi="Times New Roman" w:cs="Times New Roman"/>
          <w:sz w:val="24"/>
          <w:szCs w:val="24"/>
        </w:rPr>
        <w:t>,</w:t>
      </w:r>
      <w:r w:rsidRPr="00744F6B">
        <w:rPr>
          <w:rFonts w:ascii="Times New Roman" w:hAnsi="Times New Roman" w:cs="Times New Roman"/>
          <w:sz w:val="24"/>
          <w:szCs w:val="24"/>
        </w:rPr>
        <w:t xml:space="preserve"> transgr</w:t>
      </w:r>
      <w:r w:rsidR="00892E92" w:rsidRPr="00744F6B">
        <w:rPr>
          <w:rFonts w:ascii="Times New Roman" w:hAnsi="Times New Roman" w:cs="Times New Roman"/>
          <w:sz w:val="24"/>
          <w:szCs w:val="24"/>
        </w:rPr>
        <w:t>i</w:t>
      </w:r>
      <w:r w:rsidRPr="00744F6B">
        <w:rPr>
          <w:rFonts w:ascii="Times New Roman" w:hAnsi="Times New Roman" w:cs="Times New Roman"/>
          <w:sz w:val="24"/>
          <w:szCs w:val="24"/>
        </w:rPr>
        <w:t>d</w:t>
      </w:r>
      <w:r w:rsidR="00892E92" w:rsidRPr="00744F6B">
        <w:rPr>
          <w:rFonts w:ascii="Times New Roman" w:hAnsi="Times New Roman" w:cs="Times New Roman"/>
          <w:sz w:val="24"/>
          <w:szCs w:val="24"/>
        </w:rPr>
        <w:t>e</w:t>
      </w:r>
      <w:r w:rsidRPr="00744F6B">
        <w:rPr>
          <w:rFonts w:ascii="Times New Roman" w:hAnsi="Times New Roman" w:cs="Times New Roman"/>
          <w:sz w:val="24"/>
          <w:szCs w:val="24"/>
        </w:rPr>
        <w:t xml:space="preserve"> a liberdade da vítima, pois não h</w:t>
      </w:r>
      <w:r w:rsidR="00892E92" w:rsidRPr="00744F6B">
        <w:rPr>
          <w:rFonts w:ascii="Times New Roman" w:hAnsi="Times New Roman" w:cs="Times New Roman"/>
          <w:sz w:val="24"/>
          <w:szCs w:val="24"/>
        </w:rPr>
        <w:t>á</w:t>
      </w:r>
      <w:r w:rsidRPr="00744F6B">
        <w:rPr>
          <w:rFonts w:ascii="Times New Roman" w:hAnsi="Times New Roman" w:cs="Times New Roman"/>
          <w:sz w:val="24"/>
          <w:szCs w:val="24"/>
        </w:rPr>
        <w:t xml:space="preserve"> qualquer outra oportunidade </w:t>
      </w:r>
      <w:r w:rsidR="00892E92" w:rsidRPr="00744F6B">
        <w:rPr>
          <w:rFonts w:ascii="Times New Roman" w:hAnsi="Times New Roman" w:cs="Times New Roman"/>
          <w:sz w:val="24"/>
          <w:szCs w:val="24"/>
        </w:rPr>
        <w:t xml:space="preserve">aos deficientes além </w:t>
      </w:r>
      <w:r w:rsidRPr="00744F6B">
        <w:rPr>
          <w:rFonts w:ascii="Times New Roman" w:hAnsi="Times New Roman" w:cs="Times New Roman"/>
          <w:sz w:val="24"/>
          <w:szCs w:val="24"/>
        </w:rPr>
        <w:t xml:space="preserve">do confinamento em “La Casita”. 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O Estado não segue o art. 26 da </w:t>
      </w:r>
      <w:r w:rsidRPr="00744F6B">
        <w:rPr>
          <w:rFonts w:ascii="Times New Roman" w:hAnsi="Times New Roman" w:cs="Times New Roman"/>
          <w:bCs/>
          <w:sz w:val="24"/>
          <w:szCs w:val="24"/>
        </w:rPr>
        <w:t>CDPD</w:t>
      </w:r>
      <w:r w:rsidRPr="00744F6B">
        <w:rPr>
          <w:rFonts w:ascii="Times New Roman" w:hAnsi="Times New Roman" w:cs="Times New Roman"/>
          <w:sz w:val="24"/>
          <w:szCs w:val="24"/>
        </w:rPr>
        <w:t xml:space="preserve">, </w:t>
      </w:r>
      <w:r w:rsidR="002E01A0" w:rsidRPr="00744F6B">
        <w:rPr>
          <w:rFonts w:ascii="Times New Roman" w:hAnsi="Times New Roman" w:cs="Times New Roman"/>
          <w:sz w:val="24"/>
          <w:szCs w:val="24"/>
        </w:rPr>
        <w:t>o qual</w:t>
      </w:r>
      <w:r w:rsidRPr="00744F6B">
        <w:rPr>
          <w:rFonts w:ascii="Times New Roman" w:hAnsi="Times New Roman" w:cs="Times New Roman"/>
          <w:sz w:val="24"/>
          <w:szCs w:val="24"/>
        </w:rPr>
        <w:t xml:space="preserve"> visa a organização, fortalecimento e ampliação dos serviços de habilitação e </w:t>
      </w:r>
      <w:r w:rsidR="002E01A0" w:rsidRPr="00744F6B">
        <w:rPr>
          <w:rFonts w:ascii="Times New Roman" w:hAnsi="Times New Roman" w:cs="Times New Roman"/>
          <w:sz w:val="24"/>
          <w:szCs w:val="24"/>
        </w:rPr>
        <w:t>reabilitação dos</w:t>
      </w:r>
      <w:r w:rsidRPr="00744F6B">
        <w:rPr>
          <w:rFonts w:ascii="Times New Roman" w:hAnsi="Times New Roman" w:cs="Times New Roman"/>
          <w:sz w:val="24"/>
          <w:szCs w:val="24"/>
        </w:rPr>
        <w:t xml:space="preserve"> defi</w:t>
      </w:r>
      <w:r w:rsidR="002E01A0" w:rsidRPr="00744F6B">
        <w:rPr>
          <w:rFonts w:ascii="Times New Roman" w:hAnsi="Times New Roman" w:cs="Times New Roman"/>
          <w:sz w:val="24"/>
          <w:szCs w:val="24"/>
        </w:rPr>
        <w:t>cientes, especialmente n</w:t>
      </w:r>
      <w:r w:rsidRPr="00744F6B">
        <w:rPr>
          <w:rFonts w:ascii="Times New Roman" w:hAnsi="Times New Roman" w:cs="Times New Roman"/>
          <w:sz w:val="24"/>
          <w:szCs w:val="24"/>
        </w:rPr>
        <w:t>a área da saúde</w:t>
      </w:r>
      <w:r w:rsidR="002E01A0" w:rsidRPr="00744F6B">
        <w:rPr>
          <w:rFonts w:ascii="Times New Roman" w:hAnsi="Times New Roman" w:cs="Times New Roman"/>
          <w:sz w:val="24"/>
          <w:szCs w:val="24"/>
        </w:rPr>
        <w:t>, educação e trabalho</w:t>
      </w:r>
      <w:r w:rsidR="00067AF3" w:rsidRPr="00744F6B">
        <w:rPr>
          <w:rFonts w:ascii="Times New Roman" w:hAnsi="Times New Roman" w:cs="Times New Roman"/>
          <w:sz w:val="24"/>
          <w:szCs w:val="24"/>
        </w:rPr>
        <w:t>, o</w:t>
      </w:r>
      <w:r w:rsidR="002E01A0" w:rsidRPr="00744F6B">
        <w:rPr>
          <w:rFonts w:ascii="Times New Roman" w:hAnsi="Times New Roman" w:cs="Times New Roman"/>
          <w:sz w:val="24"/>
          <w:szCs w:val="24"/>
        </w:rPr>
        <w:t xml:space="preserve"> que não ocorreu e</w:t>
      </w:r>
      <w:r w:rsidR="00067AF3" w:rsidRPr="00744F6B">
        <w:rPr>
          <w:rFonts w:ascii="Times New Roman" w:hAnsi="Times New Roman" w:cs="Times New Roman"/>
          <w:sz w:val="24"/>
          <w:szCs w:val="24"/>
        </w:rPr>
        <w:t>m</w:t>
      </w:r>
      <w:r w:rsidR="002E01A0" w:rsidRPr="00744F6B">
        <w:rPr>
          <w:rFonts w:ascii="Times New Roman" w:hAnsi="Times New Roman" w:cs="Times New Roman"/>
          <w:sz w:val="24"/>
          <w:szCs w:val="24"/>
        </w:rPr>
        <w:t xml:space="preserve"> nenhum momento com a Srta</w:t>
      </w:r>
      <w:r w:rsidRPr="00744F6B">
        <w:rPr>
          <w:rFonts w:ascii="Times New Roman" w:hAnsi="Times New Roman" w:cs="Times New Roman"/>
          <w:sz w:val="24"/>
          <w:szCs w:val="24"/>
        </w:rPr>
        <w:t>.</w:t>
      </w:r>
      <w:r w:rsidR="002E01A0" w:rsidRPr="00744F6B">
        <w:rPr>
          <w:rFonts w:ascii="Times New Roman" w:hAnsi="Times New Roman" w:cs="Times New Roman"/>
          <w:sz w:val="24"/>
          <w:szCs w:val="24"/>
        </w:rPr>
        <w:t xml:space="preserve"> Tovar privando-a de uma cidadania ple</w:t>
      </w:r>
      <w:r w:rsidR="00067AF3" w:rsidRPr="00744F6B">
        <w:rPr>
          <w:rFonts w:ascii="Times New Roman" w:hAnsi="Times New Roman" w:cs="Times New Roman"/>
          <w:sz w:val="24"/>
          <w:szCs w:val="24"/>
        </w:rPr>
        <w:t>na e</w:t>
      </w:r>
      <w:r w:rsidR="002E01A0" w:rsidRPr="00744F6B">
        <w:rPr>
          <w:rFonts w:ascii="Times New Roman" w:hAnsi="Times New Roman" w:cs="Times New Roman"/>
          <w:sz w:val="24"/>
          <w:szCs w:val="24"/>
        </w:rPr>
        <w:t xml:space="preserve"> tratando-a como alguém que deve ser isolada da sociedade.</w:t>
      </w:r>
    </w:p>
    <w:p w:rsidR="008F7916" w:rsidRPr="00744F6B" w:rsidRDefault="00067AF3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CrIDH e o TEDH</w:t>
      </w:r>
      <w:r w:rsidRPr="00744F6B">
        <w:rPr>
          <w:rFonts w:ascii="Times New Roman" w:hAnsi="Times New Roman" w:cs="Times New Roman"/>
          <w:sz w:val="24"/>
          <w:szCs w:val="24"/>
        </w:rPr>
        <w:t xml:space="preserve"> entendem que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 xml:space="preserve">confinamento em condições precárias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constitui tratamento desumano ou degradante, </w:t>
      </w:r>
      <w:r w:rsidRPr="00744F6B">
        <w:rPr>
          <w:rFonts w:ascii="Times New Roman" w:hAnsi="Times New Roman" w:cs="Times New Roman"/>
          <w:sz w:val="24"/>
          <w:szCs w:val="24"/>
        </w:rPr>
        <w:t xml:space="preserve">conforme </w:t>
      </w:r>
      <w:r w:rsidR="00A32670" w:rsidRPr="00744F6B">
        <w:rPr>
          <w:rFonts w:ascii="Times New Roman" w:hAnsi="Times New Roman" w:cs="Times New Roman"/>
          <w:sz w:val="24"/>
          <w:szCs w:val="24"/>
        </w:rPr>
        <w:t xml:space="preserve">o paradigma estabelecido em </w:t>
      </w:r>
      <w:r w:rsidRPr="00744F6B">
        <w:rPr>
          <w:rFonts w:ascii="Times New Roman" w:hAnsi="Times New Roman" w:cs="Times New Roman"/>
          <w:sz w:val="24"/>
          <w:szCs w:val="24"/>
        </w:rPr>
        <w:t>Stanev Vs. Bulgária</w:t>
      </w:r>
      <w:r w:rsidR="0052386B" w:rsidRPr="00744F6B">
        <w:rPr>
          <w:rFonts w:ascii="Times New Roman" w:hAnsi="Times New Roman" w:cs="Times New Roman"/>
          <w:sz w:val="24"/>
          <w:szCs w:val="24"/>
        </w:rPr>
        <w:t xml:space="preserve">. Neste, a vítima, </w:t>
      </w:r>
      <w:r w:rsidR="006A4E71" w:rsidRPr="00744F6B">
        <w:rPr>
          <w:rFonts w:ascii="Times New Roman" w:hAnsi="Times New Roman" w:cs="Times New Roman"/>
          <w:sz w:val="24"/>
          <w:szCs w:val="24"/>
        </w:rPr>
        <w:t>deficiente</w:t>
      </w:r>
      <w:r w:rsidR="0052386B" w:rsidRPr="00744F6B">
        <w:rPr>
          <w:rFonts w:ascii="Times New Roman" w:hAnsi="Times New Roman" w:cs="Times New Roman"/>
          <w:sz w:val="24"/>
          <w:szCs w:val="24"/>
        </w:rPr>
        <w:t>,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foi</w:t>
      </w:r>
      <w:r w:rsidR="0052386B" w:rsidRPr="00744F6B">
        <w:rPr>
          <w:rFonts w:ascii="Times New Roman" w:hAnsi="Times New Roman" w:cs="Times New Roman"/>
          <w:sz w:val="24"/>
          <w:szCs w:val="24"/>
        </w:rPr>
        <w:t xml:space="preserve"> mantida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durante sete anos em local sem alimentação adequada, água corrente, a</w:t>
      </w:r>
      <w:r w:rsidR="0052386B" w:rsidRPr="00744F6B">
        <w:rPr>
          <w:rFonts w:ascii="Times New Roman" w:hAnsi="Times New Roman" w:cs="Times New Roman"/>
          <w:sz w:val="24"/>
          <w:szCs w:val="24"/>
        </w:rPr>
        <w:t>cesso a banheiro, privacidade 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atividades significativas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5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7916" w:rsidRPr="00744F6B" w:rsidRDefault="00F92416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bCs/>
          <w:sz w:val="24"/>
          <w:szCs w:val="24"/>
        </w:rPr>
        <w:t>O</w:t>
      </w:r>
      <w:r w:rsidR="004C4BE6" w:rsidRPr="00744F6B">
        <w:rPr>
          <w:rFonts w:ascii="Times New Roman" w:hAnsi="Times New Roman" w:cs="Times New Roman"/>
          <w:bCs/>
          <w:sz w:val="24"/>
          <w:szCs w:val="24"/>
        </w:rPr>
        <w:t xml:space="preserve"> Comitê contra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a Tortura</w:t>
      </w:r>
      <w:r w:rsidR="004C4BE6" w:rsidRPr="00744F6B">
        <w:rPr>
          <w:rFonts w:ascii="Times New Roman" w:hAnsi="Times New Roman" w:cs="Times New Roman"/>
          <w:bCs/>
          <w:sz w:val="24"/>
          <w:szCs w:val="24"/>
        </w:rPr>
        <w:t xml:space="preserve"> (ONU)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reforça que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é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obrigação do Estado prevenir a tortura de forma </w:t>
      </w:r>
      <w:r w:rsidR="006A4E71" w:rsidRPr="00744F6B">
        <w:rPr>
          <w:rFonts w:ascii="Times New Roman" w:hAnsi="Times New Roman" w:cs="Times New Roman"/>
          <w:color w:val="000000"/>
          <w:sz w:val="24"/>
          <w:szCs w:val="24"/>
        </w:rPr>
        <w:t>indivisível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7979DD" w:rsidRPr="00744F6B">
        <w:rPr>
          <w:rFonts w:ascii="Times New Roman" w:hAnsi="Times New Roman" w:cs="Times New Roman"/>
          <w:sz w:val="24"/>
          <w:szCs w:val="24"/>
        </w:rPr>
        <w:t>em relação ao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tratamento cruel, desumano, degradante, assim como tratamentos médicos punitivos.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7979DD" w:rsidRPr="00744F6B">
        <w:rPr>
          <w:rFonts w:ascii="Times New Roman" w:hAnsi="Times New Roman" w:cs="Times New Roman"/>
          <w:sz w:val="24"/>
          <w:szCs w:val="24"/>
        </w:rPr>
        <w:t>Abrangendo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7979DD" w:rsidRPr="00744F6B">
        <w:rPr>
          <w:rFonts w:ascii="Times New Roman" w:hAnsi="Times New Roman" w:cs="Times New Roman"/>
          <w:sz w:val="24"/>
          <w:szCs w:val="24"/>
        </w:rPr>
        <w:t xml:space="preserve">instituições estatais e particulares, instituições médicas e </w:t>
      </w:r>
      <w:r w:rsidR="006A4E71" w:rsidRPr="00744F6B">
        <w:rPr>
          <w:rFonts w:ascii="Times New Roman" w:hAnsi="Times New Roman" w:cs="Times New Roman"/>
          <w:sz w:val="24"/>
          <w:szCs w:val="24"/>
        </w:rPr>
        <w:t>centro</w:t>
      </w:r>
      <w:r w:rsidRPr="00744F6B">
        <w:rPr>
          <w:rFonts w:ascii="Times New Roman" w:hAnsi="Times New Roman" w:cs="Times New Roman"/>
          <w:sz w:val="24"/>
          <w:szCs w:val="24"/>
        </w:rPr>
        <w:t>s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de detenç</w:t>
      </w:r>
      <w:r w:rsidRPr="00744F6B">
        <w:rPr>
          <w:rFonts w:ascii="Times New Roman" w:hAnsi="Times New Roman" w:cs="Times New Roman"/>
          <w:sz w:val="24"/>
          <w:szCs w:val="24"/>
        </w:rPr>
        <w:t>ão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6"/>
      </w:r>
      <w:r w:rsidR="006C2EA7" w:rsidRPr="00744F6B">
        <w:rPr>
          <w:rFonts w:ascii="Times New Roman" w:hAnsi="Times New Roman" w:cs="Times New Roman"/>
          <w:sz w:val="24"/>
          <w:szCs w:val="24"/>
        </w:rPr>
        <w:t>, inclusive os funcionários</w:t>
      </w:r>
      <w:r w:rsidRPr="00744F6B">
        <w:rPr>
          <w:rFonts w:ascii="Times New Roman" w:hAnsi="Times New Roman" w:cs="Times New Roman"/>
          <w:sz w:val="24"/>
          <w:szCs w:val="24"/>
        </w:rPr>
        <w:t xml:space="preserve">. </w:t>
      </w:r>
      <w:r w:rsidR="00292643" w:rsidRPr="00744F6B">
        <w:rPr>
          <w:rFonts w:ascii="Times New Roman" w:hAnsi="Times New Roman" w:cs="Times New Roman"/>
          <w:sz w:val="24"/>
          <w:szCs w:val="24"/>
        </w:rPr>
        <w:t>A</w:t>
      </w:r>
      <w:r w:rsidR="00F63DDF" w:rsidRPr="00744F6B">
        <w:rPr>
          <w:rFonts w:ascii="Times New Roman" w:hAnsi="Times New Roman" w:cs="Times New Roman"/>
          <w:sz w:val="24"/>
          <w:szCs w:val="24"/>
        </w:rPr>
        <w:t xml:space="preserve">lém disso, o </w:t>
      </w:r>
      <w:r w:rsidR="00292643" w:rsidRPr="00744F6B">
        <w:rPr>
          <w:rFonts w:ascii="Times New Roman" w:hAnsi="Times New Roman" w:cs="Times New Roman"/>
          <w:sz w:val="24"/>
          <w:szCs w:val="24"/>
        </w:rPr>
        <w:t>Estado de</w:t>
      </w:r>
      <w:r w:rsidR="00F63DDF" w:rsidRPr="00744F6B">
        <w:rPr>
          <w:rFonts w:ascii="Times New Roman" w:hAnsi="Times New Roman" w:cs="Times New Roman"/>
          <w:sz w:val="24"/>
          <w:szCs w:val="24"/>
        </w:rPr>
        <w:t>ve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realizar diligências </w:t>
      </w:r>
      <w:r w:rsidR="00F63DDF" w:rsidRPr="00744F6B">
        <w:rPr>
          <w:rFonts w:ascii="Times New Roman" w:hAnsi="Times New Roman" w:cs="Times New Roman"/>
          <w:sz w:val="24"/>
          <w:szCs w:val="24"/>
        </w:rPr>
        <w:t>para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prevenir, investigar, processar e punir torturas, tratamentos cruéis, desumanos e degradantes, </w:t>
      </w:r>
      <w:r w:rsidR="00F63DDF" w:rsidRPr="00744F6B">
        <w:rPr>
          <w:rFonts w:ascii="Times New Roman" w:hAnsi="Times New Roman" w:cs="Times New Roman"/>
          <w:sz w:val="24"/>
          <w:szCs w:val="24"/>
        </w:rPr>
        <w:t>cometido</w:t>
      </w:r>
      <w:r w:rsidR="00A5226C" w:rsidRPr="00744F6B">
        <w:rPr>
          <w:rFonts w:ascii="Times New Roman" w:hAnsi="Times New Roman" w:cs="Times New Roman"/>
          <w:sz w:val="24"/>
          <w:szCs w:val="24"/>
        </w:rPr>
        <w:t>s</w:t>
      </w:r>
      <w:r w:rsidR="00F63DDF" w:rsidRPr="00744F6B">
        <w:rPr>
          <w:rFonts w:ascii="Times New Roman" w:hAnsi="Times New Roman" w:cs="Times New Roman"/>
          <w:sz w:val="24"/>
          <w:szCs w:val="24"/>
        </w:rPr>
        <w:t xml:space="preserve"> por atores privados ou </w:t>
      </w:r>
      <w:r w:rsidR="006A4E71" w:rsidRPr="00744F6B">
        <w:rPr>
          <w:rFonts w:ascii="Times New Roman" w:hAnsi="Times New Roman" w:cs="Times New Roman"/>
          <w:sz w:val="24"/>
          <w:szCs w:val="24"/>
        </w:rPr>
        <w:t>oficiais do Estado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7"/>
      </w:r>
      <w:r w:rsidR="006A4E71" w:rsidRPr="00744F6B">
        <w:rPr>
          <w:rFonts w:ascii="Times New Roman" w:hAnsi="Times New Roman" w:cs="Times New Roman"/>
          <w:sz w:val="24"/>
          <w:szCs w:val="24"/>
        </w:rPr>
        <w:t>.</w:t>
      </w:r>
    </w:p>
    <w:p w:rsidR="008F7916" w:rsidRPr="00744F6B" w:rsidRDefault="002750F6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>Deve</w:t>
      </w:r>
      <w:r w:rsidR="003B2DD3" w:rsidRPr="00744F6B">
        <w:rPr>
          <w:rFonts w:ascii="Times New Roman" w:hAnsi="Times New Roman" w:cs="Times New Roman"/>
          <w:sz w:val="24"/>
          <w:szCs w:val="24"/>
        </w:rPr>
        <w:t>-</w:t>
      </w:r>
      <w:r w:rsidRPr="00744F6B">
        <w:rPr>
          <w:rFonts w:ascii="Times New Roman" w:hAnsi="Times New Roman" w:cs="Times New Roman"/>
          <w:sz w:val="24"/>
          <w:szCs w:val="24"/>
        </w:rPr>
        <w:t>se ter especial cautela n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os tratamentos </w:t>
      </w:r>
      <w:r w:rsidRPr="00744F6B">
        <w:rPr>
          <w:rFonts w:ascii="Times New Roman" w:hAnsi="Times New Roman" w:cs="Times New Roman"/>
          <w:sz w:val="24"/>
          <w:szCs w:val="24"/>
        </w:rPr>
        <w:t>impostos à</w:t>
      </w:r>
      <w:r w:rsidR="006A4E71" w:rsidRPr="00744F6B">
        <w:rPr>
          <w:rFonts w:ascii="Times New Roman" w:hAnsi="Times New Roman" w:cs="Times New Roman"/>
          <w:sz w:val="24"/>
          <w:szCs w:val="24"/>
        </w:rPr>
        <w:t>s pessoas com deficiência</w:t>
      </w:r>
      <w:r w:rsidRPr="00744F6B">
        <w:rPr>
          <w:rFonts w:ascii="Times New Roman" w:hAnsi="Times New Roman" w:cs="Times New Roman"/>
          <w:sz w:val="24"/>
          <w:szCs w:val="24"/>
        </w:rPr>
        <w:t xml:space="preserve">, pois estão </w:t>
      </w:r>
      <w:r w:rsidR="003B2DD3" w:rsidRPr="00744F6B">
        <w:rPr>
          <w:rFonts w:ascii="Times New Roman" w:hAnsi="Times New Roman" w:cs="Times New Roman"/>
          <w:sz w:val="24"/>
          <w:szCs w:val="24"/>
        </w:rPr>
        <w:t xml:space="preserve">mais vulneráveis, e </w:t>
      </w:r>
      <w:r w:rsidRPr="00744F6B">
        <w:rPr>
          <w:rFonts w:ascii="Times New Roman" w:hAnsi="Times New Roman" w:cs="Times New Roman"/>
          <w:sz w:val="24"/>
          <w:szCs w:val="24"/>
        </w:rPr>
        <w:t xml:space="preserve">a ocorrência de tortura, </w:t>
      </w:r>
      <w:r w:rsidR="006A4E71" w:rsidRPr="00744F6B">
        <w:rPr>
          <w:rFonts w:ascii="Times New Roman" w:hAnsi="Times New Roman" w:cs="Times New Roman"/>
          <w:sz w:val="24"/>
          <w:szCs w:val="24"/>
        </w:rPr>
        <w:t>tratamento cruel, desumano, degradante</w:t>
      </w:r>
      <w:r w:rsidRPr="00744F6B">
        <w:rPr>
          <w:rFonts w:ascii="Times New Roman" w:hAnsi="Times New Roman" w:cs="Times New Roman"/>
          <w:sz w:val="24"/>
          <w:szCs w:val="24"/>
        </w:rPr>
        <w:t xml:space="preserve"> 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abusivo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8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podem ser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mascarados </w:t>
      </w:r>
      <w:r w:rsidRPr="00744F6B">
        <w:rPr>
          <w:rFonts w:ascii="Times New Roman" w:hAnsi="Times New Roman" w:cs="Times New Roman"/>
          <w:sz w:val="24"/>
          <w:szCs w:val="24"/>
        </w:rPr>
        <w:t xml:space="preserve">como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um tratamento </w:t>
      </w:r>
      <w:r w:rsidR="004228D7" w:rsidRPr="00744F6B">
        <w:rPr>
          <w:rFonts w:ascii="Times New Roman" w:hAnsi="Times New Roman" w:cs="Times New Roman"/>
          <w:sz w:val="24"/>
          <w:szCs w:val="24"/>
        </w:rPr>
        <w:t xml:space="preserve">médico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necessário. </w:t>
      </w:r>
      <w:r w:rsidR="004228D7" w:rsidRPr="00744F6B">
        <w:rPr>
          <w:rFonts w:ascii="Times New Roman" w:hAnsi="Times New Roman" w:cs="Times New Roman"/>
          <w:sz w:val="24"/>
          <w:szCs w:val="24"/>
        </w:rPr>
        <w:t>A situação se agrava em instituições psiquiátricas em que se pretende a criação de um “corpo dócil”, onde as queixas do paciente muitas vezes se confundem com sintomas da doença, restando ignoradas</w:t>
      </w:r>
      <w:r w:rsidR="003F7516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49"/>
      </w:r>
      <w:r w:rsidR="004228D7" w:rsidRPr="00744F6B">
        <w:rPr>
          <w:rFonts w:ascii="Times New Roman" w:hAnsi="Times New Roman" w:cs="Times New Roman"/>
          <w:sz w:val="24"/>
          <w:szCs w:val="24"/>
        </w:rPr>
        <w:t>.</w:t>
      </w:r>
    </w:p>
    <w:p w:rsidR="006A4E71" w:rsidRPr="00744F6B" w:rsidRDefault="001F6E49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Tovar</w:t>
      </w:r>
      <w:r w:rsidR="003F7516" w:rsidRPr="00744F6B">
        <w:rPr>
          <w:rFonts w:ascii="Times New Roman" w:hAnsi="Times New Roman" w:cs="Times New Roman"/>
          <w:sz w:val="24"/>
          <w:szCs w:val="24"/>
        </w:rPr>
        <w:t xml:space="preserve"> não teve acesso </w:t>
      </w:r>
      <w:r w:rsidRPr="00744F6B">
        <w:rPr>
          <w:rFonts w:ascii="Times New Roman" w:hAnsi="Times New Roman" w:cs="Times New Roman"/>
          <w:sz w:val="24"/>
          <w:szCs w:val="24"/>
        </w:rPr>
        <w:t>à</w:t>
      </w:r>
      <w:r w:rsidR="003F7516" w:rsidRPr="00744F6B">
        <w:rPr>
          <w:rFonts w:ascii="Times New Roman" w:hAnsi="Times New Roman" w:cs="Times New Roman"/>
          <w:sz w:val="24"/>
          <w:szCs w:val="24"/>
        </w:rPr>
        <w:t xml:space="preserve"> educação e ao trabalho, </w:t>
      </w:r>
      <w:r w:rsidRPr="00744F6B">
        <w:rPr>
          <w:rFonts w:ascii="Times New Roman" w:hAnsi="Times New Roman" w:cs="Times New Roman"/>
          <w:sz w:val="24"/>
          <w:szCs w:val="24"/>
        </w:rPr>
        <w:t xml:space="preserve">sendo posteriormente encarcerada involuntariamente, </w:t>
      </w:r>
      <w:r w:rsidR="003F7516" w:rsidRPr="00744F6B">
        <w:rPr>
          <w:rFonts w:ascii="Times New Roman" w:hAnsi="Times New Roman" w:cs="Times New Roman"/>
          <w:sz w:val="24"/>
          <w:szCs w:val="24"/>
        </w:rPr>
        <w:t>comprometendo seu projeto de vida, o que gera responsabilidade do Estado, conforme Cantoral Bonavides</w:t>
      </w:r>
      <w:r w:rsidR="003F7516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50"/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p w:rsidR="006A4E71" w:rsidRPr="00744F6B" w:rsidRDefault="001F6E49" w:rsidP="00B4072C">
      <w:pPr>
        <w:pStyle w:val="Estilo3"/>
        <w:outlineLvl w:val="2"/>
        <w:rPr>
          <w:rFonts w:cs="Times New Roman"/>
          <w:color w:val="000000"/>
          <w:szCs w:val="24"/>
        </w:rPr>
      </w:pPr>
      <w:bookmarkStart w:id="10" w:name="_Toc383412275"/>
      <w:r w:rsidRPr="00744F6B">
        <w:rPr>
          <w:rFonts w:cs="Times New Roman"/>
          <w:szCs w:val="24"/>
        </w:rPr>
        <w:t>2.4.2 Da Ausência de</w:t>
      </w:r>
      <w:r w:rsidR="006A4E71" w:rsidRPr="00744F6B">
        <w:rPr>
          <w:rFonts w:cs="Times New Roman"/>
          <w:szCs w:val="24"/>
        </w:rPr>
        <w:t xml:space="preserve"> Consentimento e Dos Direitos Reprodutivos </w:t>
      </w:r>
      <w:r w:rsidRPr="00744F6B">
        <w:rPr>
          <w:rFonts w:cs="Times New Roman"/>
          <w:szCs w:val="24"/>
        </w:rPr>
        <w:t>Violados</w:t>
      </w:r>
      <w:bookmarkEnd w:id="10"/>
    </w:p>
    <w:p w:rsidR="006A4E71" w:rsidRPr="00744F6B" w:rsidRDefault="00A36042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44F6B">
        <w:rPr>
          <w:rFonts w:ascii="Times New Roman" w:hAnsi="Times New Roman" w:cs="Times New Roman"/>
          <w:sz w:val="24"/>
          <w:szCs w:val="24"/>
        </w:rPr>
        <w:t xml:space="preserve"> vítima </w:t>
      </w:r>
      <w:r w:rsidR="006A4E71" w:rsidRPr="00744F6B">
        <w:rPr>
          <w:rFonts w:ascii="Times New Roman" w:hAnsi="Times New Roman" w:cs="Times New Roman"/>
          <w:sz w:val="24"/>
          <w:szCs w:val="24"/>
        </w:rPr>
        <w:t>e</w:t>
      </w:r>
      <w:r w:rsidRPr="00744F6B">
        <w:rPr>
          <w:rFonts w:ascii="Times New Roman" w:hAnsi="Times New Roman" w:cs="Times New Roman"/>
          <w:sz w:val="24"/>
          <w:szCs w:val="24"/>
        </w:rPr>
        <w:t>m nenhum momento foi questionada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sobre </w:t>
      </w:r>
      <w:r w:rsidRPr="00744F6B">
        <w:rPr>
          <w:rFonts w:ascii="Times New Roman" w:hAnsi="Times New Roman" w:cs="Times New Roman"/>
          <w:sz w:val="24"/>
          <w:szCs w:val="24"/>
        </w:rPr>
        <w:t>seu internamento, apesar de demonstrar, em todos os momentos, a consciência e compreensão dos fatos</w:t>
      </w:r>
      <w:r w:rsidR="006A4E71" w:rsidRPr="00744F6B">
        <w:rPr>
          <w:rFonts w:ascii="Times New Roman" w:hAnsi="Times New Roman" w:cs="Times New Roman"/>
          <w:sz w:val="24"/>
          <w:szCs w:val="24"/>
        </w:rPr>
        <w:t>.</w:t>
      </w:r>
      <w:r w:rsidR="006A4E71" w:rsidRPr="0074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E71" w:rsidRPr="00744F6B">
        <w:rPr>
          <w:rFonts w:ascii="Times New Roman" w:hAnsi="Times New Roman" w:cs="Times New Roman"/>
          <w:color w:val="000000"/>
          <w:sz w:val="24"/>
          <w:szCs w:val="24"/>
        </w:rPr>
        <w:t>Situação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que fere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os princípios fundamentais da CDPD, </w:t>
      </w:r>
      <w:r w:rsidRPr="00744F6B">
        <w:rPr>
          <w:rFonts w:ascii="Times New Roman" w:hAnsi="Times New Roman" w:cs="Times New Roman"/>
          <w:sz w:val="24"/>
          <w:szCs w:val="24"/>
        </w:rPr>
        <w:t xml:space="preserve">que em seu </w:t>
      </w:r>
      <w:r w:rsidR="006A4E71" w:rsidRPr="00744F6B">
        <w:rPr>
          <w:rFonts w:ascii="Times New Roman" w:hAnsi="Times New Roman" w:cs="Times New Roman"/>
          <w:sz w:val="24"/>
          <w:szCs w:val="24"/>
        </w:rPr>
        <w:t>art. 3</w:t>
      </w:r>
      <w:r w:rsidRPr="00744F6B">
        <w:rPr>
          <w:rFonts w:ascii="Times New Roman" w:hAnsi="Times New Roman" w:cs="Times New Roman"/>
          <w:sz w:val="24"/>
          <w:szCs w:val="24"/>
        </w:rPr>
        <w:t>º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dispõe: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“O respeito pela dignidade inerente, a autonomia individual, inclusive a liberdade de fazer as próprias escolhas, e a independência das pessoas [...]”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51"/>
      </w:r>
      <w:r w:rsidRPr="00744F6B">
        <w:rPr>
          <w:rFonts w:ascii="Times New Roman" w:hAnsi="Times New Roman" w:cs="Times New Roman"/>
          <w:sz w:val="24"/>
          <w:szCs w:val="24"/>
        </w:rPr>
        <w:t xml:space="preserve">.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Assim,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deve haver consentimento informado para todo tratamento médico</w:t>
      </w:r>
      <w:r w:rsidR="006A4E71" w:rsidRPr="00744F6B">
        <w:rPr>
          <w:rStyle w:val="Refdenotaderodap4"/>
          <w:rFonts w:ascii="Times New Roman" w:hAnsi="Times New Roman" w:cs="Times New Roman"/>
          <w:bCs/>
          <w:sz w:val="24"/>
          <w:szCs w:val="24"/>
        </w:rPr>
        <w:footnoteReference w:id="52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37EB" w:rsidRPr="00744F6B">
        <w:rPr>
          <w:rFonts w:ascii="Times New Roman" w:hAnsi="Times New Roman" w:cs="Times New Roman"/>
          <w:bCs/>
          <w:sz w:val="24"/>
          <w:szCs w:val="24"/>
        </w:rPr>
        <w:t>inclusive tratamento psiquiátrico. Mesmo em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="004F37EB" w:rsidRPr="00744F6B">
        <w:rPr>
          <w:rFonts w:ascii="Times New Roman" w:hAnsi="Times New Roman" w:cs="Times New Roman"/>
          <w:bCs/>
          <w:sz w:val="24"/>
          <w:szCs w:val="24"/>
        </w:rPr>
        <w:t>rupos vulneráveis, o tratamento deve estabelecer equilíbrio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entre o poder do médico e do paciente</w:t>
      </w:r>
      <w:r w:rsidR="006A4E71" w:rsidRPr="00744F6B">
        <w:rPr>
          <w:rStyle w:val="Refdenotaderodap4"/>
          <w:rFonts w:ascii="Times New Roman" w:hAnsi="Times New Roman" w:cs="Times New Roman"/>
          <w:bCs/>
          <w:sz w:val="24"/>
          <w:szCs w:val="24"/>
        </w:rPr>
        <w:footnoteReference w:id="53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F37EB" w:rsidRPr="00744F6B">
        <w:rPr>
          <w:rFonts w:ascii="Times New Roman" w:hAnsi="Times New Roman" w:cs="Times New Roman"/>
          <w:bCs/>
          <w:sz w:val="24"/>
          <w:szCs w:val="24"/>
        </w:rPr>
        <w:t>afastando 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estigma e </w:t>
      </w:r>
      <w:r w:rsidR="004F37EB" w:rsidRPr="00744F6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discriminação</w:t>
      </w:r>
      <w:r w:rsidR="006A4E71" w:rsidRPr="00744F6B">
        <w:rPr>
          <w:rStyle w:val="Refdenotaderodap4"/>
          <w:rFonts w:ascii="Times New Roman" w:hAnsi="Times New Roman" w:cs="Times New Roman"/>
          <w:bCs/>
          <w:sz w:val="24"/>
          <w:szCs w:val="24"/>
        </w:rPr>
        <w:footnoteReference w:id="54"/>
      </w:r>
      <w:r w:rsidR="004F37EB" w:rsidRPr="00744F6B">
        <w:rPr>
          <w:rFonts w:ascii="Times New Roman" w:hAnsi="Times New Roman" w:cs="Times New Roman"/>
          <w:bCs/>
          <w:sz w:val="24"/>
          <w:szCs w:val="24"/>
        </w:rPr>
        <w:t>. No caso, a Srta. Tovar, apesar de dotada de discernimento, foi ouvida somente quando internada no hospital. C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onforme decidido no caso Damião Ximenes</w:t>
      </w:r>
      <w:r w:rsidR="006A4E71" w:rsidRPr="00744F6B">
        <w:rPr>
          <w:rStyle w:val="Refdenotaderodap4"/>
          <w:rFonts w:ascii="Times New Roman" w:hAnsi="Times New Roman" w:cs="Times New Roman"/>
          <w:bCs/>
          <w:sz w:val="24"/>
          <w:szCs w:val="24"/>
        </w:rPr>
        <w:footnoteReference w:id="55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A4E71" w:rsidRPr="008767A5" w:rsidRDefault="006A4E71" w:rsidP="001E3B82">
      <w:pPr>
        <w:pStyle w:val="PargrafodaLista1"/>
        <w:suppressLineNumbers/>
        <w:spacing w:before="200" w:after="400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67A5">
        <w:rPr>
          <w:rFonts w:ascii="Times New Roman" w:hAnsi="Times New Roman" w:cs="Times New Roman"/>
          <w:bCs/>
          <w:sz w:val="20"/>
          <w:szCs w:val="20"/>
        </w:rPr>
        <w:t>A Corte considera que todo tratamento de saúde dirigido a pessoas portadoras de deficiência mental deve ter como finalidade principal o bem-estar do paciente e o respeito a sua dignidade como ser humano, que se traduz no dever de adotar como princípios orientadores do tratamento psiquiátrico o respeito à intimidade e à autonomia das pessoas.[...] A deficiência mental, entretanto, não deve ser entendida como uma incapacidade para que a pessoa de determine e deve ser aplicada a presunção de que as pessoas portadoras desse tipo de deficiências são capazes de expressar sua vontade, a qual deve ser respeitada pelo pessoal médico e pelas autoridades.</w:t>
      </w:r>
    </w:p>
    <w:p w:rsidR="008F7916" w:rsidRPr="00744F6B" w:rsidRDefault="004F37EB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bCs/>
          <w:sz w:val="24"/>
          <w:szCs w:val="24"/>
        </w:rPr>
        <w:t>Srta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. Tovar e demais internas receberam anticoncepcional de forma compulsória, prática ilegal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, pois </w:t>
      </w:r>
      <w:r w:rsidR="00EB05A5" w:rsidRPr="00744F6B">
        <w:rPr>
          <w:rFonts w:ascii="Times New Roman" w:hAnsi="Times New Roman" w:cs="Times New Roman"/>
          <w:bCs/>
          <w:sz w:val="24"/>
          <w:szCs w:val="24"/>
        </w:rPr>
        <w:t>viola os direitos reprodutivos (PDESC, art. 10; PIDCP; arts. 7° e 17; CADH, art.</w:t>
      </w:r>
      <w:r w:rsidR="00242D80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5A5" w:rsidRPr="00744F6B">
        <w:rPr>
          <w:rFonts w:ascii="Times New Roman" w:hAnsi="Times New Roman" w:cs="Times New Roman"/>
          <w:bCs/>
          <w:sz w:val="24"/>
          <w:szCs w:val="24"/>
        </w:rPr>
        <w:t xml:space="preserve">5° e CEPPD). </w:t>
      </w:r>
      <w:r w:rsidRPr="00744F6B">
        <w:rPr>
          <w:rFonts w:ascii="Times New Roman" w:hAnsi="Times New Roman" w:cs="Times New Roman"/>
          <w:bCs/>
          <w:sz w:val="24"/>
          <w:szCs w:val="24"/>
        </w:rPr>
        <w:t>A escolha sobre o momento e as condições de uma gravidez cabem exclusivamente à mulher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>, em respeito à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autodeterminação, intimidade, liberdade, autonomia individual e 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>igualdade no estabelecimento de seus projetos de vida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sem interferência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>s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56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>Portanto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 xml:space="preserve">houve violação </w:t>
      </w:r>
      <w:r w:rsidR="001232DE" w:rsidRPr="00744F6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direitos 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>de gênero</w:t>
      </w:r>
      <w:r w:rsidR="0045771B" w:rsidRPr="00744F6B">
        <w:rPr>
          <w:rFonts w:ascii="Times New Roman" w:hAnsi="Times New Roman" w:cs="Times New Roman"/>
          <w:bCs/>
          <w:sz w:val="24"/>
          <w:szCs w:val="24"/>
        </w:rPr>
        <w:t xml:space="preserve"> e de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 xml:space="preserve"> não-discriminação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.</w:t>
      </w:r>
      <w:r w:rsidR="001232DE"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Segundo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B4072C" w:rsidRPr="00744F6B">
        <w:rPr>
          <w:rFonts w:ascii="Times New Roman" w:hAnsi="Times New Roman" w:cs="Times New Roman"/>
          <w:bCs/>
          <w:sz w:val="24"/>
          <w:szCs w:val="24"/>
        </w:rPr>
        <w:t>Federação Internacional de Ginecologia e Obstetrícia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2DE" w:rsidRPr="00744F6B">
        <w:rPr>
          <w:rFonts w:ascii="Times New Roman" w:hAnsi="Times New Roman" w:cs="Times New Roman"/>
          <w:bCs/>
          <w:sz w:val="24"/>
          <w:szCs w:val="24"/>
        </w:rPr>
        <w:t>a esterilização ou contracepção forçada não é uma técnica justificável, ainda que aplicável a grupos vulneráveis</w:t>
      </w:r>
      <w:r w:rsidR="0045771B" w:rsidRPr="00744F6B">
        <w:rPr>
          <w:rFonts w:ascii="Times New Roman" w:hAnsi="Times New Roman" w:cs="Times New Roman"/>
          <w:bCs/>
          <w:sz w:val="24"/>
          <w:szCs w:val="24"/>
        </w:rPr>
        <w:t>, como deficientes, pois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interferem d</w:t>
      </w:r>
      <w:r w:rsidR="0045771B" w:rsidRPr="00744F6B">
        <w:rPr>
          <w:rFonts w:ascii="Times New Roman" w:hAnsi="Times New Roman" w:cs="Times New Roman"/>
          <w:bCs/>
          <w:sz w:val="24"/>
          <w:szCs w:val="24"/>
        </w:rPr>
        <w:t>iretamente n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o planejamento familiar</w:t>
      </w:r>
      <w:r w:rsidR="001D0D3F" w:rsidRPr="00744F6B">
        <w:rPr>
          <w:rFonts w:ascii="Times New Roman" w:hAnsi="Times New Roman" w:cs="Times New Roman"/>
          <w:bCs/>
          <w:sz w:val="24"/>
          <w:szCs w:val="24"/>
        </w:rPr>
        <w:t>, retirando a determinação da mulher sobre seu corpo</w:t>
      </w:r>
      <w:r w:rsidR="0045771B" w:rsidRPr="00744F6B">
        <w:rPr>
          <w:rFonts w:ascii="Times New Roman" w:hAnsi="Times New Roman" w:cs="Times New Roman"/>
          <w:bCs/>
          <w:sz w:val="24"/>
          <w:szCs w:val="24"/>
        </w:rPr>
        <w:t>. Ainda, podem ser consideradas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71B" w:rsidRPr="00744F6B">
        <w:rPr>
          <w:rFonts w:ascii="Times New Roman" w:hAnsi="Times New Roman" w:cs="Times New Roman"/>
          <w:bCs/>
          <w:sz w:val="24"/>
          <w:szCs w:val="24"/>
        </w:rPr>
        <w:t>como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uma forma de tortura, de tratamento desumano, degradante, e controle social por motivos discriminatórios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57"/>
      </w:r>
      <w:r w:rsidR="001D0D3F" w:rsidRPr="00744F6B">
        <w:rPr>
          <w:rFonts w:ascii="Times New Roman" w:hAnsi="Times New Roman" w:cs="Times New Roman"/>
          <w:bCs/>
          <w:sz w:val="24"/>
          <w:szCs w:val="24"/>
        </w:rPr>
        <w:t>.</w:t>
      </w:r>
    </w:p>
    <w:p w:rsidR="008F7916" w:rsidRPr="00744F6B" w:rsidRDefault="001D0D3F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A violência de gênero ocorre de maneira mais frequente em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mulheres com deficiência</w:t>
      </w:r>
      <w:r w:rsidRPr="00744F6B">
        <w:rPr>
          <w:rFonts w:ascii="Times New Roman" w:hAnsi="Times New Roman" w:cs="Times New Roman"/>
          <w:bCs/>
          <w:sz w:val="24"/>
          <w:szCs w:val="24"/>
        </w:rPr>
        <w:t>, pois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bCs/>
          <w:sz w:val="24"/>
          <w:szCs w:val="24"/>
        </w:rPr>
        <w:t>sua autonomia é privada com a alegação abstrata de que não possuem a capacidade necessária para constituição de família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58"/>
      </w:r>
      <w:r w:rsidRPr="00744F6B">
        <w:rPr>
          <w:rFonts w:ascii="Times New Roman" w:hAnsi="Times New Roman" w:cs="Times New Roman"/>
          <w:bCs/>
          <w:sz w:val="24"/>
          <w:szCs w:val="24"/>
        </w:rPr>
        <w:t>, sem considerar a sit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uação individual de cada mulher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.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C7C" w:rsidRPr="00744F6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o caso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lastRenderedPageBreak/>
        <w:t>Artavia Murillo Vs. Costa Rica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59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a CrIDH relacionou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o direito de reprodução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 com a vida privada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considerando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violado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art. 11 da CADH. E estabeleceu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dever de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proteção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do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Estado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contra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ações arbitrárias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que afetem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a vida privada e familiar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0"/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, que vem sendo interpretada de forma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ampliativa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pela CrIDH, incluindo suas violações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omo transgressão à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liberdade (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 xml:space="preserve">CADH,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art. 7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). Esta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engloba a possibilidade de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organização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de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vida individual e social conforme as próprias convicções, pensamentos e opiniões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1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7C7C" w:rsidRPr="00744F6B">
        <w:rPr>
          <w:rFonts w:ascii="Times New Roman" w:hAnsi="Times New Roman" w:cs="Times New Roman"/>
          <w:bCs/>
          <w:sz w:val="24"/>
          <w:szCs w:val="24"/>
        </w:rPr>
        <w:t>protegendo a autodeterminação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.</w:t>
      </w:r>
    </w:p>
    <w:p w:rsidR="008F7916" w:rsidRPr="00744F6B" w:rsidRDefault="00A81E78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proteção à vida privada </w:t>
      </w:r>
      <w:r w:rsidRPr="00744F6B">
        <w:rPr>
          <w:rFonts w:ascii="Times New Roman" w:hAnsi="Times New Roman" w:cs="Times New Roman"/>
          <w:bCs/>
          <w:sz w:val="24"/>
          <w:szCs w:val="24"/>
        </w:rPr>
        <w:t>relaciona-se ainda com a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dignidade do indiv</w:t>
      </w:r>
      <w:r w:rsidR="002F439D">
        <w:rPr>
          <w:rFonts w:ascii="Times New Roman" w:hAnsi="Times New Roman" w:cs="Times New Roman"/>
          <w:bCs/>
          <w:sz w:val="24"/>
          <w:szCs w:val="24"/>
        </w:rPr>
        <w:t>í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duo, determinação de identidad</w:t>
      </w:r>
      <w:r w:rsidRPr="00744F6B">
        <w:rPr>
          <w:rFonts w:ascii="Times New Roman" w:hAnsi="Times New Roman" w:cs="Times New Roman"/>
          <w:bCs/>
          <w:sz w:val="24"/>
          <w:szCs w:val="24"/>
        </w:rPr>
        <w:t>e própria e relações pessoais, i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ncluindo, assim, o direito à autonomia </w:t>
      </w:r>
      <w:r w:rsidRPr="00744F6B">
        <w:rPr>
          <w:rFonts w:ascii="Times New Roman" w:hAnsi="Times New Roman" w:cs="Times New Roman"/>
          <w:bCs/>
          <w:sz w:val="24"/>
          <w:szCs w:val="24"/>
        </w:rPr>
        <w:t>e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desenvolvimento pessoal e o direito de se estabelecer e desenvolver relações 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sociais 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2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efetividade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do direito à vida privada é decisiva para a possibilidade de exercer a autonomia pessoal sobre futuros eventos relevantes, para a qualidade de vida da pessoa</w:t>
      </w:r>
      <w:r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3"/>
      </w:r>
      <w:r w:rsidRPr="00744F6B">
        <w:rPr>
          <w:rFonts w:ascii="Times New Roman" w:hAnsi="Times New Roman" w:cs="Times New Roman"/>
          <w:bCs/>
          <w:sz w:val="24"/>
          <w:szCs w:val="24"/>
        </w:rPr>
        <w:t>, pois esta inclui a forma em que o individuo se vê, como decide projetar-se, indispensável para o desenvolvimento da personalidade</w:t>
      </w:r>
      <w:r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4"/>
      </w:r>
      <w:r w:rsidRPr="00744F6B">
        <w:rPr>
          <w:rFonts w:ascii="Times New Roman" w:hAnsi="Times New Roman" w:cs="Times New Roman"/>
          <w:bCs/>
          <w:sz w:val="24"/>
          <w:szCs w:val="24"/>
        </w:rPr>
        <w:t>. Desta forma, pelo entendimento da CrIDH, o direito reprodutivo é uma forma de desenvolvimento da personalidade das mulheres</w:t>
      </w:r>
      <w:r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5"/>
      </w:r>
      <w:r w:rsidR="00A81E78" w:rsidRPr="00744F6B">
        <w:rPr>
          <w:rFonts w:ascii="Times New Roman" w:hAnsi="Times New Roman" w:cs="Times New Roman"/>
          <w:bCs/>
          <w:sz w:val="24"/>
          <w:szCs w:val="24"/>
        </w:rPr>
        <w:t>.</w:t>
      </w:r>
      <w:r w:rsidR="00A94333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Ademais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, ao sofrer violação ao direito de reprodução, houve transgressão ao direito do planejamento familiar. 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bCs/>
          <w:sz w:val="24"/>
          <w:szCs w:val="24"/>
        </w:rPr>
        <w:lastRenderedPageBreak/>
        <w:t>Além disso, n</w:t>
      </w:r>
      <w:r w:rsidR="00A94333" w:rsidRPr="00744F6B">
        <w:rPr>
          <w:rFonts w:ascii="Times New Roman" w:hAnsi="Times New Roman" w:cs="Times New Roman"/>
          <w:bCs/>
          <w:sz w:val="24"/>
          <w:szCs w:val="24"/>
        </w:rPr>
        <w:t>ão pode se hierarquizar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o direito reprodutivo entre deficientes e não-deficientes. </w:t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>Segundo o CEDM a limitação ao direito reprodutivo</w:t>
      </w:r>
      <w:r w:rsidR="00ED59FE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6"/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>, sem distinção, infringe a dignidade humana</w:t>
      </w:r>
      <w:r w:rsidR="00ED59FE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7"/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 xml:space="preserve"> (CADH, art. 11) e a integridade física e mental (CADH, art. 5). </w:t>
      </w:r>
      <w:r w:rsidR="00A94333" w:rsidRPr="00744F6B">
        <w:rPr>
          <w:rFonts w:ascii="Times New Roman" w:hAnsi="Times New Roman" w:cs="Times New Roman"/>
          <w:bCs/>
          <w:sz w:val="24"/>
          <w:szCs w:val="24"/>
        </w:rPr>
        <w:t>Enquanto direitos humanos, o</w:t>
      </w:r>
      <w:r w:rsidRPr="00744F6B">
        <w:rPr>
          <w:rFonts w:ascii="Times New Roman" w:hAnsi="Times New Roman" w:cs="Times New Roman"/>
          <w:bCs/>
          <w:sz w:val="24"/>
          <w:szCs w:val="24"/>
        </w:rPr>
        <w:t>s direitos sexuais e reprodutivos</w:t>
      </w:r>
      <w:r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8"/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333" w:rsidRPr="00744F6B">
        <w:rPr>
          <w:rFonts w:ascii="Times New Roman" w:hAnsi="Times New Roman" w:cs="Times New Roman"/>
          <w:bCs/>
          <w:sz w:val="24"/>
          <w:szCs w:val="24"/>
        </w:rPr>
        <w:t>são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universais, indissociáveis e interdependentes. </w:t>
      </w:r>
      <w:r w:rsidR="00A94333" w:rsidRPr="00744F6B">
        <w:rPr>
          <w:rFonts w:ascii="Times New Roman" w:hAnsi="Times New Roman" w:cs="Times New Roman"/>
          <w:bCs/>
          <w:sz w:val="24"/>
          <w:szCs w:val="24"/>
        </w:rPr>
        <w:t xml:space="preserve">Portanto, negá-los a deficientes seria negar </w:t>
      </w:r>
      <w:r w:rsidRPr="00744F6B">
        <w:rPr>
          <w:rFonts w:ascii="Times New Roman" w:hAnsi="Times New Roman" w:cs="Times New Roman"/>
          <w:bCs/>
          <w:sz w:val="24"/>
          <w:szCs w:val="24"/>
        </w:rPr>
        <w:t>a própria natureza humana.</w:t>
      </w:r>
      <w:r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69"/>
      </w:r>
      <w:r w:rsidR="007A7AC1" w:rsidRPr="00744F6B">
        <w:rPr>
          <w:rFonts w:ascii="Times New Roman" w:hAnsi="Times New Roman" w:cs="Times New Roman"/>
          <w:bCs/>
          <w:sz w:val="24"/>
          <w:szCs w:val="24"/>
        </w:rPr>
        <w:t xml:space="preserve"> Não basta não haver uma negativa estatal, deve-se </w:t>
      </w:r>
      <w:r w:rsidRPr="00744F6B">
        <w:rPr>
          <w:rFonts w:ascii="Times New Roman" w:hAnsi="Times New Roman" w:cs="Times New Roman"/>
          <w:bCs/>
          <w:sz w:val="24"/>
          <w:szCs w:val="24"/>
        </w:rPr>
        <w:t>garantir suportes necessários para a efetivação dos direitos reprodutivos e sexuais</w:t>
      </w:r>
      <w:r w:rsidR="007A7AC1" w:rsidRPr="00744F6B">
        <w:rPr>
          <w:rFonts w:ascii="Times New Roman" w:hAnsi="Times New Roman" w:cs="Times New Roman"/>
          <w:bCs/>
          <w:sz w:val="24"/>
          <w:szCs w:val="24"/>
        </w:rPr>
        <w:t>, o que significa dizer que em “La Casita” não deveria somente não ter aplicado compulsoriamente contraceptivo às mulheres, mas deveria ter oferecido orientações a todos os pacientes.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direito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a reprodu</w:t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>ção é indissociável ao direito à sexualidade e não deve sofrer limitação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por motivos discriminatórios, pois </w:t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>também a pessoa com deficiência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>tem o direito de desfrutar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uma vida tão normal e plena </w:t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>dentro de suas limitações</w:t>
      </w:r>
      <w:r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70"/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. De acordo com a declaração realizada pela 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>IPPF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os direitos sexuais </w:t>
      </w:r>
      <w:r w:rsidR="00ED59FE" w:rsidRPr="00744F6B">
        <w:rPr>
          <w:rFonts w:ascii="Times New Roman" w:hAnsi="Times New Roman" w:cs="Times New Roman"/>
          <w:bCs/>
          <w:sz w:val="24"/>
          <w:szCs w:val="24"/>
        </w:rPr>
        <w:t xml:space="preserve">por serem parte </w:t>
      </w:r>
      <w:r w:rsidR="009F4A84" w:rsidRPr="00744F6B">
        <w:rPr>
          <w:rFonts w:ascii="Times New Roman" w:hAnsi="Times New Roman" w:cs="Times New Roman"/>
          <w:bCs/>
          <w:sz w:val="24"/>
          <w:szCs w:val="24"/>
        </w:rPr>
        <w:t>da personalidade de todo ser humano, deve ser criado um ambiente favorável para o exercício deste direito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 xml:space="preserve"> (IPPF, princípios 1 e 5).</w:t>
      </w:r>
    </w:p>
    <w:p w:rsidR="008F7916" w:rsidRPr="00744F6B" w:rsidRDefault="00536923" w:rsidP="00D86445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bCs/>
          <w:sz w:val="24"/>
          <w:szCs w:val="24"/>
        </w:rPr>
        <w:t>Conforme relatado, os funcionários de “La Casita” constataram a ocorrência de relações se</w:t>
      </w:r>
      <w:r w:rsidR="00D10449">
        <w:rPr>
          <w:rFonts w:ascii="Times New Roman" w:hAnsi="Times New Roman" w:cs="Times New Roman"/>
          <w:bCs/>
          <w:sz w:val="24"/>
          <w:szCs w:val="24"/>
        </w:rPr>
        <w:tab/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xuais em áreas verdes da instituição, contudo, </w:t>
      </w:r>
      <w:r w:rsidR="00D86445">
        <w:rPr>
          <w:rFonts w:ascii="Times New Roman" w:hAnsi="Times New Roman" w:cs="Times New Roman"/>
          <w:bCs/>
          <w:sz w:val="24"/>
          <w:szCs w:val="24"/>
        </w:rPr>
        <w:t>no caso, não se verifica preocupação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em </w:t>
      </w:r>
      <w:r w:rsidR="00D86445">
        <w:rPr>
          <w:rFonts w:ascii="Times New Roman" w:hAnsi="Times New Roman" w:cs="Times New Roman"/>
          <w:bCs/>
          <w:sz w:val="24"/>
          <w:szCs w:val="24"/>
        </w:rPr>
        <w:t>averiguar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se as relações ocorridas eram consensuais, limitando-se à administração de anticoncepcionais às mulheres. Isto poderia encobrir eventual violência sexual, o que infringe o dever de cautela da instituição com seus internos. Para que a instituição tivesse tal dever satisfeito</w:t>
      </w:r>
      <w:r w:rsidR="00BF7078" w:rsidRPr="00744F6B">
        <w:rPr>
          <w:rFonts w:ascii="Times New Roman" w:hAnsi="Times New Roman" w:cs="Times New Roman"/>
          <w:bCs/>
          <w:sz w:val="24"/>
          <w:szCs w:val="24"/>
        </w:rPr>
        <w:t xml:space="preserve">, deveria ser transmitido aos seus internos, na medida da compreensão de cada um, </w:t>
      </w:r>
      <w:r w:rsidR="00BF7078" w:rsidRPr="00744F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informações sobre o exercício de sua sexualidade de forma segura (prevenção de gravidez e doenças sexualmente transmissíveis).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Assim, </w:t>
      </w:r>
      <w:r w:rsidR="00BF7078" w:rsidRPr="00744F6B">
        <w:rPr>
          <w:rFonts w:ascii="Times New Roman" w:hAnsi="Times New Roman" w:cs="Times New Roman"/>
          <w:bCs/>
          <w:sz w:val="24"/>
          <w:szCs w:val="24"/>
        </w:rPr>
        <w:t>compete ao Estado fornecer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informações sobre a reproduç</w:t>
      </w:r>
      <w:r w:rsidR="00BF7078" w:rsidRPr="00744F6B">
        <w:rPr>
          <w:rFonts w:ascii="Times New Roman" w:hAnsi="Times New Roman" w:cs="Times New Roman"/>
          <w:bCs/>
          <w:sz w:val="24"/>
          <w:szCs w:val="24"/>
        </w:rPr>
        <w:t xml:space="preserve">ão e sexualidade especificamente no que diz respeito </w:t>
      </w:r>
      <w:r w:rsidR="00246F10">
        <w:rPr>
          <w:rFonts w:ascii="Times New Roman" w:hAnsi="Times New Roman" w:cs="Times New Roman"/>
          <w:bCs/>
          <w:sz w:val="24"/>
          <w:szCs w:val="24"/>
        </w:rPr>
        <w:t>às</w:t>
      </w:r>
      <w:r w:rsidR="00BF7078" w:rsidRPr="00744F6B">
        <w:rPr>
          <w:rFonts w:ascii="Times New Roman" w:hAnsi="Times New Roman" w:cs="Times New Roman"/>
          <w:bCs/>
          <w:sz w:val="24"/>
          <w:szCs w:val="24"/>
        </w:rPr>
        <w:t xml:space="preserve"> pessoas com deficiência, o que não ocorreu em “La Casita”, consequentemente foram violadas disposições do art. 8 da IPPF.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Além </w:t>
      </w:r>
      <w:r w:rsidR="006A4E71" w:rsidRPr="00744F6B">
        <w:rPr>
          <w:rFonts w:ascii="Times New Roman" w:hAnsi="Times New Roman" w:cs="Times New Roman"/>
          <w:color w:val="000000"/>
          <w:sz w:val="24"/>
          <w:szCs w:val="24"/>
        </w:rPr>
        <w:t>disso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>, conforme a UNDP</w:t>
      </w:r>
      <w:r w:rsidR="006A4E71" w:rsidRPr="00744F6B">
        <w:rPr>
          <w:rStyle w:val="Refdenotaderodap5"/>
          <w:rFonts w:ascii="Times New Roman" w:hAnsi="Times New Roman" w:cs="Times New Roman"/>
          <w:bCs/>
          <w:sz w:val="24"/>
          <w:szCs w:val="24"/>
        </w:rPr>
        <w:footnoteReference w:id="71"/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, é obrigação dos países 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>apoiar e informar</w:t>
      </w:r>
      <w:r w:rsidR="006A4E71" w:rsidRPr="00744F6B">
        <w:rPr>
          <w:rFonts w:ascii="Times New Roman" w:hAnsi="Times New Roman" w:cs="Times New Roman"/>
          <w:bCs/>
          <w:sz w:val="24"/>
          <w:szCs w:val="24"/>
        </w:rPr>
        <w:t xml:space="preserve"> sobre direitos sexuais e reprodutivos, realizar disposições legais para assegurar ao deficiente conhecimentos sobre métodos contraceptivos e o planejamento familiar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sendo, Exclutia é responsável por resguardar a saúde do deficiente de forma integral, devendo ter diretrizes de saúde sexual e reprodutiva, com di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>á</w:t>
      </w:r>
      <w:r w:rsidRPr="00744F6B">
        <w:rPr>
          <w:rFonts w:ascii="Times New Roman" w:hAnsi="Times New Roman" w:cs="Times New Roman"/>
          <w:bCs/>
          <w:sz w:val="24"/>
          <w:szCs w:val="24"/>
        </w:rPr>
        <w:t>logo contínuo entre os funcionários da saúde</w:t>
      </w:r>
      <w:r w:rsidR="00F67DED" w:rsidRPr="00744F6B">
        <w:rPr>
          <w:rFonts w:ascii="Times New Roman" w:hAnsi="Times New Roman" w:cs="Times New Roman"/>
          <w:bCs/>
          <w:sz w:val="24"/>
          <w:szCs w:val="24"/>
        </w:rPr>
        <w:t>,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pessoas com deficiência</w:t>
      </w:r>
      <w:r w:rsidR="004D5157" w:rsidRPr="00744F6B">
        <w:rPr>
          <w:rFonts w:ascii="Times New Roman" w:hAnsi="Times New Roman" w:cs="Times New Roman"/>
          <w:bCs/>
          <w:sz w:val="24"/>
          <w:szCs w:val="24"/>
        </w:rPr>
        <w:t xml:space="preserve"> e seus familiares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, para a educação sexual, prevenção de doenças sexualmente transmissíveis </w:t>
      </w:r>
      <w:r w:rsidR="00ED047C" w:rsidRPr="00744F6B">
        <w:rPr>
          <w:rFonts w:ascii="Times New Roman" w:hAnsi="Times New Roman" w:cs="Times New Roman"/>
          <w:bCs/>
          <w:sz w:val="24"/>
          <w:szCs w:val="24"/>
        </w:rPr>
        <w:t>e</w:t>
      </w:r>
      <w:r w:rsidRPr="00744F6B">
        <w:rPr>
          <w:rFonts w:ascii="Times New Roman" w:hAnsi="Times New Roman" w:cs="Times New Roman"/>
          <w:bCs/>
          <w:sz w:val="24"/>
          <w:szCs w:val="24"/>
        </w:rPr>
        <w:t xml:space="preserve"> eventual gravidez indesejada.</w:t>
      </w:r>
    </w:p>
    <w:p w:rsidR="006A4E71" w:rsidRPr="00744F6B" w:rsidRDefault="006A4E71" w:rsidP="00B4072C">
      <w:pPr>
        <w:pStyle w:val="Estilo20"/>
        <w:outlineLvl w:val="1"/>
        <w:rPr>
          <w:rFonts w:cs="Times New Roman"/>
          <w:szCs w:val="24"/>
        </w:rPr>
      </w:pPr>
      <w:bookmarkStart w:id="11" w:name="_Toc383412276"/>
      <w:r w:rsidRPr="00744F6B">
        <w:rPr>
          <w:rFonts w:cs="Times New Roman"/>
          <w:szCs w:val="24"/>
        </w:rPr>
        <w:t>2.5 DO CONTROLE DE CONVENCIONALIDADE</w:t>
      </w:r>
      <w:bookmarkEnd w:id="11"/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O </w:t>
      </w:r>
      <w:r w:rsidRPr="00744F6B">
        <w:rPr>
          <w:rFonts w:ascii="Times New Roman" w:hAnsi="Times New Roman" w:cs="Times New Roman"/>
          <w:bCs/>
          <w:sz w:val="24"/>
          <w:szCs w:val="24"/>
        </w:rPr>
        <w:t>controle</w:t>
      </w:r>
      <w:r w:rsidRPr="00744F6B">
        <w:rPr>
          <w:rFonts w:ascii="Times New Roman" w:hAnsi="Times New Roman" w:cs="Times New Roman"/>
          <w:sz w:val="24"/>
          <w:szCs w:val="24"/>
        </w:rPr>
        <w:t xml:space="preserve"> de convencionalidade, exercido pela CrIDH, está relacionado à análise do cumprimento das obrigações internacionais presentes na CADH, sobre dois aspectos:</w:t>
      </w:r>
    </w:p>
    <w:p w:rsidR="006A4E71" w:rsidRPr="00744F6B" w:rsidRDefault="006A4E71" w:rsidP="001E3B82">
      <w:pPr>
        <w:suppressLineNumbers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 xml:space="preserve">a) compatibilidade das ações e omissões de qualquer autoridade pública, independentemente de ordem hierárquica, na promoção da defesa dos direitos humanos e observância da correta aplicação dos arts. 1.1, 2º </w:t>
      </w:r>
      <w:r w:rsidR="00ED047C" w:rsidRPr="00744F6B">
        <w:rPr>
          <w:rFonts w:ascii="Times New Roman" w:hAnsi="Times New Roman" w:cs="Times New Roman"/>
        </w:rPr>
        <w:t>da CADH e art. 27</w:t>
      </w:r>
      <w:r w:rsidRPr="00744F6B">
        <w:rPr>
          <w:rFonts w:ascii="Times New Roman" w:hAnsi="Times New Roman" w:cs="Times New Roman"/>
        </w:rPr>
        <w:t xml:space="preserve"> da CVDT;</w:t>
      </w:r>
      <w:r w:rsidRPr="00744F6B">
        <w:rPr>
          <w:rStyle w:val="Refdenotaderodap20"/>
          <w:rFonts w:ascii="Times New Roman" w:hAnsi="Times New Roman" w:cs="Times New Roman"/>
        </w:rPr>
        <w:footnoteReference w:id="72"/>
      </w:r>
    </w:p>
    <w:p w:rsidR="006A4E71" w:rsidRPr="00744F6B" w:rsidRDefault="006A4E71" w:rsidP="001E3B82">
      <w:pPr>
        <w:suppressLineNumbers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744F6B">
        <w:rPr>
          <w:rFonts w:ascii="Times New Roman" w:hAnsi="Times New Roman" w:cs="Times New Roman"/>
        </w:rPr>
        <w:t>b) aspecto material da incompatibilidade das leis do Estado em relação às obrigações internacionais presentes no</w:t>
      </w:r>
      <w:r w:rsidR="00ED047C" w:rsidRPr="00744F6B">
        <w:rPr>
          <w:rFonts w:ascii="Times New Roman" w:hAnsi="Times New Roman" w:cs="Times New Roman"/>
        </w:rPr>
        <w:t>s</w:t>
      </w:r>
      <w:r w:rsidRPr="00744F6B">
        <w:rPr>
          <w:rFonts w:ascii="Times New Roman" w:hAnsi="Times New Roman" w:cs="Times New Roman"/>
        </w:rPr>
        <w:t xml:space="preserve"> arts. 2º, 8</w:t>
      </w:r>
      <w:r w:rsidR="00ED047C" w:rsidRPr="00744F6B">
        <w:rPr>
          <w:rFonts w:ascii="Times New Roman" w:hAnsi="Times New Roman" w:cs="Times New Roman"/>
        </w:rPr>
        <w:t>.1</w:t>
      </w:r>
      <w:r w:rsidRPr="00744F6B">
        <w:rPr>
          <w:rFonts w:ascii="Times New Roman" w:hAnsi="Times New Roman" w:cs="Times New Roman"/>
        </w:rPr>
        <w:t>, 25</w:t>
      </w:r>
      <w:r w:rsidR="00ED047C" w:rsidRPr="00744F6B">
        <w:rPr>
          <w:rFonts w:ascii="Times New Roman" w:hAnsi="Times New Roman" w:cs="Times New Roman"/>
        </w:rPr>
        <w:t>.1 da CADH</w:t>
      </w:r>
      <w:r w:rsidRPr="00744F6B">
        <w:rPr>
          <w:rFonts w:ascii="Times New Roman" w:hAnsi="Times New Roman" w:cs="Times New Roman"/>
        </w:rPr>
        <w:t xml:space="preserve"> e art. 27 da CVDT.</w:t>
      </w:r>
      <w:r w:rsidRPr="00744F6B">
        <w:rPr>
          <w:rStyle w:val="Refdenotaderodap20"/>
          <w:rFonts w:ascii="Times New Roman" w:hAnsi="Times New Roman" w:cs="Times New Roman"/>
        </w:rPr>
        <w:footnoteReference w:id="73"/>
      </w:r>
    </w:p>
    <w:p w:rsidR="006A4E71" w:rsidRPr="00744F6B" w:rsidRDefault="006A4E71" w:rsidP="00B4072C">
      <w:pPr>
        <w:pStyle w:val="Estilo3"/>
        <w:outlineLvl w:val="2"/>
        <w:rPr>
          <w:rFonts w:cs="Times New Roman"/>
          <w:szCs w:val="24"/>
        </w:rPr>
      </w:pPr>
      <w:bookmarkStart w:id="12" w:name="_Toc383412277"/>
      <w:r w:rsidRPr="00744F6B">
        <w:rPr>
          <w:rFonts w:cs="Times New Roman"/>
          <w:szCs w:val="24"/>
        </w:rPr>
        <w:t>2.5.1 </w:t>
      </w:r>
      <w:r w:rsidR="008866DD" w:rsidRPr="00744F6B">
        <w:rPr>
          <w:rFonts w:cs="Times New Roman"/>
          <w:szCs w:val="24"/>
        </w:rPr>
        <w:t xml:space="preserve">Da Violação da Convencionalidade em Relação às </w:t>
      </w:r>
      <w:r w:rsidRPr="00744F6B">
        <w:rPr>
          <w:rFonts w:cs="Times New Roman"/>
          <w:szCs w:val="24"/>
        </w:rPr>
        <w:t xml:space="preserve">Garantias </w:t>
      </w:r>
      <w:r w:rsidR="008866DD" w:rsidRPr="00744F6B">
        <w:rPr>
          <w:rFonts w:cs="Times New Roman"/>
          <w:szCs w:val="24"/>
        </w:rPr>
        <w:t xml:space="preserve">e Proteções </w:t>
      </w:r>
      <w:r w:rsidRPr="00744F6B">
        <w:rPr>
          <w:rFonts w:cs="Times New Roman"/>
          <w:szCs w:val="24"/>
        </w:rPr>
        <w:t>Judiciais</w:t>
      </w:r>
      <w:r w:rsidR="008866DD" w:rsidRPr="00744F6B">
        <w:rPr>
          <w:rFonts w:cs="Times New Roman"/>
          <w:szCs w:val="24"/>
        </w:rPr>
        <w:t xml:space="preserve"> </w:t>
      </w:r>
      <w:r w:rsidRPr="00744F6B">
        <w:rPr>
          <w:rFonts w:cs="Times New Roman"/>
          <w:szCs w:val="24"/>
        </w:rPr>
        <w:t xml:space="preserve">– arts. </w:t>
      </w:r>
      <w:r w:rsidRPr="00744F6B">
        <w:rPr>
          <w:rFonts w:cs="Times New Roman"/>
          <w:szCs w:val="24"/>
        </w:rPr>
        <w:lastRenderedPageBreak/>
        <w:t>1.1, 2º, 8.1 e 25.1 da CADH e art. 27 da CVDT</w:t>
      </w:r>
      <w:bookmarkEnd w:id="12"/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CrIDH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ED047C" w:rsidRPr="00744F6B">
        <w:rPr>
          <w:rFonts w:ascii="Times New Roman" w:hAnsi="Times New Roman" w:cs="Times New Roman"/>
          <w:bCs/>
          <w:sz w:val="24"/>
          <w:szCs w:val="24"/>
        </w:rPr>
        <w:t>pode</w:t>
      </w:r>
      <w:r w:rsidRPr="00744F6B">
        <w:rPr>
          <w:rFonts w:ascii="Times New Roman" w:hAnsi="Times New Roman" w:cs="Times New Roman"/>
          <w:sz w:val="24"/>
          <w:szCs w:val="24"/>
        </w:rPr>
        <w:t xml:space="preserve"> examinar os procediment</w:t>
      </w:r>
      <w:r w:rsidR="00ED047C" w:rsidRPr="00744F6B">
        <w:rPr>
          <w:rFonts w:ascii="Times New Roman" w:hAnsi="Times New Roman" w:cs="Times New Roman"/>
          <w:sz w:val="24"/>
          <w:szCs w:val="24"/>
        </w:rPr>
        <w:t>os judiciais internos do Estado-</w:t>
      </w:r>
      <w:r w:rsidRPr="00744F6B">
        <w:rPr>
          <w:rFonts w:ascii="Times New Roman" w:hAnsi="Times New Roman" w:cs="Times New Roman"/>
          <w:sz w:val="24"/>
          <w:szCs w:val="24"/>
        </w:rPr>
        <w:t>parte, para determinar se ocorreram violações previstas nos arts. 8.1 e 25 da CADH, conforme jurisprudência do SIDH</w:t>
      </w:r>
      <w:r w:rsidRPr="00744F6B">
        <w:rPr>
          <w:rStyle w:val="Refdenotaderodap20"/>
          <w:rFonts w:ascii="Times New Roman" w:hAnsi="Times New Roman" w:cs="Times New Roman"/>
          <w:sz w:val="24"/>
          <w:szCs w:val="24"/>
        </w:rPr>
        <w:footnoteReference w:id="74"/>
      </w:r>
      <w:r w:rsidRPr="00744F6B">
        <w:rPr>
          <w:rFonts w:ascii="Times New Roman" w:hAnsi="Times New Roman" w:cs="Times New Roman"/>
          <w:sz w:val="24"/>
          <w:szCs w:val="24"/>
        </w:rPr>
        <w:t xml:space="preserve"> e TEDH</w:t>
      </w:r>
      <w:r w:rsidRPr="00744F6B">
        <w:rPr>
          <w:rStyle w:val="Refdenotaderodap20"/>
          <w:rFonts w:ascii="Times New Roman" w:hAnsi="Times New Roman" w:cs="Times New Roman"/>
          <w:sz w:val="24"/>
          <w:szCs w:val="24"/>
        </w:rPr>
        <w:footnoteReference w:id="75"/>
      </w:r>
      <w:r w:rsidRPr="00744F6B">
        <w:rPr>
          <w:rStyle w:val="Refdenotaderodap20"/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relacionados com os arts. 1.1 e 2º da CADH.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Os art</w:t>
      </w:r>
      <w:r w:rsidR="00ED047C" w:rsidRPr="00744F6B">
        <w:rPr>
          <w:rFonts w:ascii="Times New Roman" w:hAnsi="Times New Roman" w:cs="Times New Roman"/>
          <w:sz w:val="24"/>
          <w:szCs w:val="24"/>
        </w:rPr>
        <w:t>s</w:t>
      </w:r>
      <w:r w:rsidRPr="00744F6B">
        <w:rPr>
          <w:rFonts w:ascii="Times New Roman" w:hAnsi="Times New Roman" w:cs="Times New Roman"/>
          <w:sz w:val="24"/>
          <w:szCs w:val="24"/>
        </w:rPr>
        <w:t>. 8.1 e 25.1 da CADH determinam que: a) toda pessoa tem o direito de ser ouvida; e, b) é obrigação do Estado em proporcionar aos jurisdicionados recurso simples, rápido e efetivo, na tutela contra ações ou omissões do Estado que violem ou possam violar direitos fundamentais e humanos, desde que não seja um recurso meramente formal.</w:t>
      </w:r>
      <w:r w:rsidRPr="00744F6B">
        <w:rPr>
          <w:rStyle w:val="Refdenotaderodap20"/>
          <w:rFonts w:ascii="Times New Roman" w:hAnsi="Times New Roman" w:cs="Times New Roman"/>
          <w:sz w:val="24"/>
          <w:szCs w:val="24"/>
        </w:rPr>
        <w:footnoteReference w:id="76"/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Neste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sentido</w:t>
      </w:r>
      <w:r w:rsidRPr="00744F6B">
        <w:rPr>
          <w:rFonts w:ascii="Times New Roman" w:hAnsi="Times New Roman" w:cs="Times New Roman"/>
          <w:sz w:val="24"/>
          <w:szCs w:val="24"/>
        </w:rPr>
        <w:t>, as garantias judiciais</w:t>
      </w:r>
      <w:r w:rsidR="00ED047C" w:rsidRPr="00744F6B">
        <w:rPr>
          <w:rFonts w:ascii="Times New Roman" w:hAnsi="Times New Roman" w:cs="Times New Roman"/>
          <w:sz w:val="24"/>
          <w:szCs w:val="24"/>
        </w:rPr>
        <w:t>,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ED047C" w:rsidRPr="00744F6B">
        <w:rPr>
          <w:rFonts w:ascii="Times New Roman" w:hAnsi="Times New Roman" w:cs="Times New Roman"/>
          <w:sz w:val="24"/>
          <w:szCs w:val="24"/>
        </w:rPr>
        <w:t>conforme</w:t>
      </w:r>
      <w:r w:rsidRPr="00744F6B">
        <w:rPr>
          <w:rFonts w:ascii="Times New Roman" w:hAnsi="Times New Roman" w:cs="Times New Roman"/>
          <w:sz w:val="24"/>
          <w:szCs w:val="24"/>
        </w:rPr>
        <w:t xml:space="preserve"> Genie Lacayo Vs. Nicarágua, compreende o devido processo legal e direito à defesa pessoal, que por sua vez constituem “[…] o direito de toda pessoa ser ouvida e dentro de um prazo razoável, por um tribunal competente, independente e imparcial, estabelecido com anterioridade por lei, […] para determinação de seus direitos de caráter civil, trabalhista, fiscal ou outro qualquer.”</w:t>
      </w:r>
      <w:r w:rsidRPr="00744F6B">
        <w:rPr>
          <w:rStyle w:val="Refdenotaderodap20"/>
          <w:rFonts w:ascii="Times New Roman" w:hAnsi="Times New Roman" w:cs="Times New Roman"/>
          <w:sz w:val="24"/>
          <w:szCs w:val="24"/>
        </w:rPr>
        <w:footnoteReference w:id="77"/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análise</w:t>
      </w:r>
      <w:r w:rsidRPr="00744F6B">
        <w:rPr>
          <w:rFonts w:ascii="Times New Roman" w:hAnsi="Times New Roman" w:cs="Times New Roman"/>
          <w:sz w:val="24"/>
          <w:szCs w:val="24"/>
        </w:rPr>
        <w:t xml:space="preserve"> dos procedimentos internos demonstra que: a) o acórdão em sede de Apelação do Recurso de Nulidade, publicado no dia 19/4/2009, afastou a ilegitimidade alegada em sentença e negou provimento, por não ficar comprovado abuso da curadora da vítima, além disso, o mesmo acórdão indica que o recurso idôneo seria uma ação de inconstitucionalidade perante a CCE;</w:t>
      </w:r>
      <w:r w:rsidR="008F62BF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 xml:space="preserve">e, b) o recurso de amparo foi conhecido e provido pela STC, condenando Exclutia a adotar medidas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 xml:space="preserve">necessárias a fim de melhorar </w:t>
      </w:r>
      <w:r w:rsidR="00ED047C" w:rsidRPr="00744F6B">
        <w:rPr>
          <w:rFonts w:ascii="Times New Roman" w:hAnsi="Times New Roman" w:cs="Times New Roman"/>
          <w:sz w:val="24"/>
          <w:szCs w:val="24"/>
        </w:rPr>
        <w:t>as condições em “La Casita”</w:t>
      </w:r>
      <w:r w:rsidRPr="00744F6B">
        <w:rPr>
          <w:rFonts w:ascii="Times New Roman" w:hAnsi="Times New Roman" w:cs="Times New Roman"/>
          <w:sz w:val="24"/>
          <w:szCs w:val="24"/>
        </w:rPr>
        <w:t xml:space="preserve"> devido às violações de direitos fundamentais, como, escassez de alimentos, infraestrutura precária entre outros problemas.</w:t>
      </w:r>
    </w:p>
    <w:p w:rsidR="008F7916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Verifica-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744F6B">
        <w:rPr>
          <w:rFonts w:ascii="Times New Roman" w:hAnsi="Times New Roman" w:cs="Times New Roman"/>
          <w:sz w:val="24"/>
          <w:szCs w:val="24"/>
        </w:rPr>
        <w:t xml:space="preserve"> que o resultado da Apelação </w:t>
      </w:r>
      <w:r w:rsidR="00ED047C" w:rsidRPr="00744F6B">
        <w:rPr>
          <w:rFonts w:ascii="Times New Roman" w:hAnsi="Times New Roman" w:cs="Times New Roman"/>
          <w:sz w:val="24"/>
          <w:szCs w:val="24"/>
        </w:rPr>
        <w:t>foi desfavorável</w:t>
      </w:r>
      <w:r w:rsidRPr="00744F6B">
        <w:rPr>
          <w:rFonts w:ascii="Times New Roman" w:hAnsi="Times New Roman" w:cs="Times New Roman"/>
          <w:sz w:val="24"/>
          <w:szCs w:val="24"/>
        </w:rPr>
        <w:t xml:space="preserve"> para a Srta. Cristal, pois não </w:t>
      </w:r>
      <w:r w:rsidR="00ED047C" w:rsidRPr="00744F6B">
        <w:rPr>
          <w:rFonts w:ascii="Times New Roman" w:hAnsi="Times New Roman" w:cs="Times New Roman"/>
          <w:sz w:val="24"/>
          <w:szCs w:val="24"/>
        </w:rPr>
        <w:t>consistiu em</w:t>
      </w:r>
      <w:r w:rsidRPr="00744F6B">
        <w:rPr>
          <w:rFonts w:ascii="Times New Roman" w:hAnsi="Times New Roman" w:cs="Times New Roman"/>
          <w:sz w:val="24"/>
          <w:szCs w:val="24"/>
        </w:rPr>
        <w:t xml:space="preserve"> procedimento adequado de investigação</w:t>
      </w:r>
      <w:r w:rsidR="00ED047C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 xml:space="preserve">ao considerar </w:t>
      </w:r>
      <w:r w:rsidR="00ED047C" w:rsidRPr="00744F6B">
        <w:rPr>
          <w:rFonts w:ascii="Times New Roman" w:hAnsi="Times New Roman" w:cs="Times New Roman"/>
          <w:sz w:val="24"/>
          <w:szCs w:val="24"/>
        </w:rPr>
        <w:t xml:space="preserve">unicamente </w:t>
      </w:r>
      <w:r w:rsidRPr="00744F6B">
        <w:rPr>
          <w:rFonts w:ascii="Times New Roman" w:hAnsi="Times New Roman" w:cs="Times New Roman"/>
          <w:sz w:val="24"/>
          <w:szCs w:val="24"/>
        </w:rPr>
        <w:t>o depoimento da curadora, Dra. Lira, como meio de prova a favor da manutenção da interdição civil, sem tentar outra diligência inerente ao efeito devolutivo do instituto da apelação.</w:t>
      </w:r>
    </w:p>
    <w:p w:rsidR="006A4E71" w:rsidRPr="00744F6B" w:rsidRDefault="006A4E71" w:rsidP="008F7916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CrIDH</w:t>
      </w:r>
      <w:r w:rsidR="00ED047C"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47C" w:rsidRPr="00744F6B">
        <w:rPr>
          <w:rFonts w:ascii="Times New Roman" w:hAnsi="Times New Roman" w:cs="Times New Roman"/>
          <w:sz w:val="24"/>
          <w:szCs w:val="24"/>
        </w:rPr>
        <w:t>n</w:t>
      </w:r>
      <w:r w:rsidRPr="00744F6B">
        <w:rPr>
          <w:rFonts w:ascii="Times New Roman" w:hAnsi="Times New Roman" w:cs="Times New Roman"/>
          <w:sz w:val="24"/>
          <w:szCs w:val="24"/>
        </w:rPr>
        <w:t>o caso Bácama Velásquez Vs. Guatemala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78"/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ED047C" w:rsidRPr="00744F6B">
        <w:rPr>
          <w:rFonts w:ascii="Times New Roman" w:hAnsi="Times New Roman" w:cs="Times New Roman"/>
          <w:sz w:val="24"/>
          <w:szCs w:val="24"/>
        </w:rPr>
        <w:t>estabeleceu</w:t>
      </w:r>
      <w:r w:rsidRPr="00744F6B">
        <w:rPr>
          <w:rFonts w:ascii="Times New Roman" w:hAnsi="Times New Roman" w:cs="Times New Roman"/>
          <w:sz w:val="24"/>
          <w:szCs w:val="24"/>
        </w:rPr>
        <w:t xml:space="preserve"> que </w:t>
      </w:r>
      <w:r w:rsidR="00ED047C" w:rsidRPr="00744F6B">
        <w:rPr>
          <w:rFonts w:ascii="Times New Roman" w:hAnsi="Times New Roman" w:cs="Times New Roman"/>
          <w:sz w:val="24"/>
          <w:szCs w:val="24"/>
        </w:rPr>
        <w:t>é</w:t>
      </w:r>
      <w:r w:rsidRPr="00744F6B">
        <w:rPr>
          <w:rFonts w:ascii="Times New Roman" w:hAnsi="Times New Roman" w:cs="Times New Roman"/>
          <w:sz w:val="24"/>
          <w:szCs w:val="24"/>
        </w:rPr>
        <w:t xml:space="preserve"> “[...] obrigação do Estado parte em prevenir e investigar [...]”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79"/>
      </w:r>
      <w:r w:rsidR="00ED047C" w:rsidRPr="00744F6B">
        <w:rPr>
          <w:rFonts w:ascii="Times New Roman" w:hAnsi="Times New Roman" w:cs="Times New Roman"/>
          <w:sz w:val="24"/>
          <w:szCs w:val="24"/>
        </w:rPr>
        <w:t xml:space="preserve"> violações de direitos humanos</w:t>
      </w:r>
      <w:r w:rsidRPr="00744F6B">
        <w:rPr>
          <w:rFonts w:ascii="Times New Roman" w:hAnsi="Times New Roman" w:cs="Times New Roman"/>
          <w:sz w:val="24"/>
          <w:szCs w:val="24"/>
        </w:rPr>
        <w:t xml:space="preserve">. No caso em tela se verifica que </w:t>
      </w:r>
      <w:r w:rsidR="00ED047C" w:rsidRPr="00744F6B">
        <w:rPr>
          <w:rFonts w:ascii="Times New Roman" w:hAnsi="Times New Roman" w:cs="Times New Roman"/>
          <w:sz w:val="24"/>
          <w:szCs w:val="24"/>
        </w:rPr>
        <w:t>o Estado não preveniu as violações em “La Casita”</w:t>
      </w:r>
      <w:r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="00ED047C" w:rsidRPr="00744F6B">
        <w:rPr>
          <w:rFonts w:ascii="Times New Roman" w:hAnsi="Times New Roman" w:cs="Times New Roman"/>
          <w:sz w:val="24"/>
          <w:szCs w:val="24"/>
        </w:rPr>
        <w:t>e tampouco seguiu as recomendações da CmIDH.</w:t>
      </w:r>
      <w:r w:rsidR="00B27B03" w:rsidRPr="00744F6B">
        <w:rPr>
          <w:rFonts w:ascii="Times New Roman" w:hAnsi="Times New Roman" w:cs="Times New Roman"/>
          <w:sz w:val="24"/>
          <w:szCs w:val="24"/>
        </w:rPr>
        <w:t xml:space="preserve"> Isto demonstra</w:t>
      </w:r>
      <w:r w:rsidRPr="00744F6B">
        <w:rPr>
          <w:rFonts w:ascii="Times New Roman" w:hAnsi="Times New Roman" w:cs="Times New Roman"/>
          <w:sz w:val="24"/>
          <w:szCs w:val="24"/>
        </w:rPr>
        <w:t xml:space="preserve"> que Exclutia</w:t>
      </w:r>
      <w:r w:rsidR="00B27B03" w:rsidRPr="00744F6B">
        <w:rPr>
          <w:rFonts w:ascii="Times New Roman" w:hAnsi="Times New Roman" w:cs="Times New Roman"/>
          <w:sz w:val="24"/>
          <w:szCs w:val="24"/>
        </w:rPr>
        <w:t xml:space="preserve"> perpetua a</w:t>
      </w:r>
      <w:r w:rsidRPr="00744F6B">
        <w:rPr>
          <w:rFonts w:ascii="Times New Roman" w:hAnsi="Times New Roman" w:cs="Times New Roman"/>
          <w:sz w:val="24"/>
          <w:szCs w:val="24"/>
        </w:rPr>
        <w:t xml:space="preserve"> impunidade</w:t>
      </w:r>
      <w:r w:rsidR="00B27B03" w:rsidRPr="00744F6B">
        <w:rPr>
          <w:rFonts w:ascii="Times New Roman" w:hAnsi="Times New Roman" w:cs="Times New Roman"/>
          <w:sz w:val="24"/>
          <w:szCs w:val="24"/>
        </w:rPr>
        <w:t xml:space="preserve"> ao não prevenir e investigar as violações </w:t>
      </w:r>
      <w:r w:rsidR="00992FA9" w:rsidRPr="00744F6B">
        <w:rPr>
          <w:rFonts w:ascii="Times New Roman" w:hAnsi="Times New Roman" w:cs="Times New Roman"/>
          <w:sz w:val="24"/>
          <w:szCs w:val="24"/>
        </w:rPr>
        <w:t xml:space="preserve">crônicas </w:t>
      </w:r>
      <w:r w:rsidR="00B27B03" w:rsidRPr="00744F6B">
        <w:rPr>
          <w:rFonts w:ascii="Times New Roman" w:hAnsi="Times New Roman" w:cs="Times New Roman"/>
          <w:sz w:val="24"/>
          <w:szCs w:val="24"/>
        </w:rPr>
        <w:t>ocorridas</w:t>
      </w:r>
      <w:r w:rsidR="00992FA9" w:rsidRPr="00744F6B">
        <w:rPr>
          <w:rStyle w:val="FootnoteReference"/>
          <w:rFonts w:ascii="Times New Roman" w:hAnsi="Times New Roman" w:cs="Times New Roman"/>
          <w:sz w:val="24"/>
          <w:szCs w:val="24"/>
        </w:rPr>
        <w:footnoteReference w:id="80"/>
      </w:r>
      <w:r w:rsidR="00B27B03" w:rsidRPr="00744F6B">
        <w:rPr>
          <w:rFonts w:ascii="Times New Roman" w:hAnsi="Times New Roman" w:cs="Times New Roman"/>
          <w:sz w:val="24"/>
          <w:szCs w:val="24"/>
        </w:rPr>
        <w:t>.</w:t>
      </w:r>
    </w:p>
    <w:p w:rsidR="006A4E71" w:rsidRPr="00744F6B" w:rsidRDefault="006A4E71" w:rsidP="00B4072C">
      <w:pPr>
        <w:pStyle w:val="Estilo3"/>
        <w:outlineLvl w:val="2"/>
        <w:rPr>
          <w:rFonts w:cs="Times New Roman"/>
          <w:szCs w:val="24"/>
        </w:rPr>
      </w:pPr>
      <w:bookmarkStart w:id="13" w:name="_Toc383412278"/>
      <w:r w:rsidRPr="00744F6B">
        <w:rPr>
          <w:rFonts w:cs="Times New Roman"/>
          <w:szCs w:val="24"/>
        </w:rPr>
        <w:t>2.5.2 </w:t>
      </w:r>
      <w:r w:rsidR="002D484F">
        <w:rPr>
          <w:rFonts w:cs="Times New Roman"/>
          <w:szCs w:val="24"/>
        </w:rPr>
        <w:t xml:space="preserve">Da </w:t>
      </w:r>
      <w:r w:rsidRPr="00744F6B">
        <w:rPr>
          <w:rFonts w:cs="Times New Roman"/>
          <w:szCs w:val="24"/>
        </w:rPr>
        <w:t xml:space="preserve">Violação </w:t>
      </w:r>
      <w:r w:rsidR="00992FA9" w:rsidRPr="00744F6B">
        <w:rPr>
          <w:rFonts w:cs="Times New Roman"/>
          <w:szCs w:val="24"/>
        </w:rPr>
        <w:t>da Convencionalidade em Relação a</w:t>
      </w:r>
      <w:r w:rsidRPr="00744F6B">
        <w:rPr>
          <w:rFonts w:cs="Times New Roman"/>
          <w:szCs w:val="24"/>
        </w:rPr>
        <w:t>o Direito ao Reconhecimento da Personalidade Jurídica – arts. 1.1, 2º e 3º da CADH e art. 27 DA CVDT</w:t>
      </w:r>
      <w:bookmarkEnd w:id="13"/>
    </w:p>
    <w:p w:rsidR="0078749E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CADH</w:t>
      </w:r>
      <w:r w:rsidRPr="00744F6B">
        <w:rPr>
          <w:rFonts w:ascii="Times New Roman" w:hAnsi="Times New Roman" w:cs="Times New Roman"/>
          <w:sz w:val="24"/>
          <w:szCs w:val="24"/>
        </w:rPr>
        <w:t xml:space="preserve"> estabelece no seu art. 3º o direito ao reconhecimento da personalidade jurídica e a CrIDH tem afirmado que, segundo o caso Povo de Saramaka Vs. Suriname, não deve ser limitado em termos absolutos, pois coloca a pessoa em uma situação vulnerável perante o Estado e terceiros.</w:t>
      </w:r>
      <w:r w:rsidRPr="00744F6B">
        <w:rPr>
          <w:rStyle w:val="Refdenotaderodap5"/>
          <w:rFonts w:ascii="Times New Roman" w:hAnsi="Times New Roman" w:cs="Times New Roman"/>
          <w:sz w:val="24"/>
          <w:szCs w:val="24"/>
        </w:rPr>
        <w:footnoteReference w:id="81"/>
      </w:r>
      <w:r w:rsidRPr="00744F6B">
        <w:rPr>
          <w:rFonts w:ascii="Times New Roman" w:hAnsi="Times New Roman" w:cs="Times New Roman"/>
          <w:sz w:val="24"/>
          <w:szCs w:val="24"/>
        </w:rPr>
        <w:t xml:space="preserve"> Acrescenta-se que no Caso das Crianças Yean e Bosico a titularidade pode ser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>limitada pela incapacidade, como no caso dos menores de idade, mas mesmo assim continuam tendo personalidade jurídica.</w:t>
      </w:r>
      <w:r w:rsidRPr="00744F6B">
        <w:rPr>
          <w:rStyle w:val="Refdenotaderodap5"/>
          <w:rFonts w:ascii="Times New Roman" w:hAnsi="Times New Roman" w:cs="Times New Roman"/>
          <w:sz w:val="24"/>
          <w:szCs w:val="24"/>
        </w:rPr>
        <w:footnoteReference w:id="82"/>
      </w:r>
    </w:p>
    <w:p w:rsidR="0078749E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 xml:space="preserve">O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projeto</w:t>
      </w:r>
      <w:r w:rsidRPr="00744F6B">
        <w:rPr>
          <w:rFonts w:ascii="Times New Roman" w:hAnsi="Times New Roman" w:cs="Times New Roman"/>
          <w:sz w:val="24"/>
          <w:szCs w:val="24"/>
        </w:rPr>
        <w:t xml:space="preserve"> de alteração do art. 41 do CC vigente, segundo posicionamento da CmIDH, é incompatível com os padrões internacionais em matéria de direitos humanos das pessoas deficientes. Neste sentido o art. I da CIEPPD estabelece que a interdição é possível e não será considerada discriminatória, mas conforme o art. VII da CIEPPD não “[...] será interpretada no sentido de restringir ou permitir que os Estados Partes limitem o gozo dos direitos das pessoas portadoras de deficiência reconhecidos pelo Direito Internacional consuetudinário ou pelos instrumentos internacionais vinculantes para um determinado Estado Parte.”</w:t>
      </w:r>
    </w:p>
    <w:p w:rsidR="0078749E" w:rsidRPr="00744F6B" w:rsidRDefault="00A81207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Tanto o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artigo vigente</w:t>
      </w:r>
      <w:r w:rsidRPr="00744F6B">
        <w:rPr>
          <w:rFonts w:ascii="Times New Roman" w:hAnsi="Times New Roman" w:cs="Times New Roman"/>
          <w:sz w:val="24"/>
          <w:szCs w:val="24"/>
        </w:rPr>
        <w:t>, quanto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o projeto, </w:t>
      </w:r>
      <w:r w:rsidRPr="00744F6B">
        <w:rPr>
          <w:rFonts w:ascii="Times New Roman" w:hAnsi="Times New Roman" w:cs="Times New Roman"/>
          <w:sz w:val="24"/>
          <w:szCs w:val="24"/>
        </w:rPr>
        <w:t>tratam da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interdição sem especificar se há possibilidade </w:t>
      </w:r>
      <w:r w:rsidRPr="00744F6B">
        <w:rPr>
          <w:rFonts w:ascii="Times New Roman" w:hAnsi="Times New Roman" w:cs="Times New Roman"/>
          <w:sz w:val="24"/>
          <w:szCs w:val="24"/>
        </w:rPr>
        <w:t xml:space="preserve">desta ocorrer parcialmente, desconsiderando que o deficiente </w:t>
      </w:r>
      <w:r w:rsidR="006A4E71" w:rsidRPr="00744F6B">
        <w:rPr>
          <w:rFonts w:ascii="Times New Roman" w:hAnsi="Times New Roman" w:cs="Times New Roman"/>
          <w:sz w:val="24"/>
          <w:szCs w:val="24"/>
        </w:rPr>
        <w:t>não necessariamente é incapaz para reali</w:t>
      </w:r>
      <w:r w:rsidRPr="00744F6B">
        <w:rPr>
          <w:rFonts w:ascii="Times New Roman" w:hAnsi="Times New Roman" w:cs="Times New Roman"/>
          <w:sz w:val="24"/>
          <w:szCs w:val="24"/>
        </w:rPr>
        <w:t>zar todos os atos da vida civil, aumentando demasiadamente sua restrição.</w:t>
      </w:r>
    </w:p>
    <w:p w:rsidR="006A4E71" w:rsidRPr="00744F6B" w:rsidRDefault="00612F6B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Assim</w:t>
      </w:r>
      <w:r w:rsidR="006A4E71" w:rsidRPr="00744F6B">
        <w:rPr>
          <w:rFonts w:ascii="Times New Roman" w:hAnsi="Times New Roman" w:cs="Times New Roman"/>
          <w:sz w:val="24"/>
          <w:szCs w:val="24"/>
        </w:rPr>
        <w:t>, o Juiz Cível de Inclutiarán</w:t>
      </w:r>
      <w:r w:rsidR="00A81207" w:rsidRPr="00744F6B">
        <w:rPr>
          <w:rFonts w:ascii="Times New Roman" w:hAnsi="Times New Roman" w:cs="Times New Roman"/>
          <w:sz w:val="24"/>
          <w:szCs w:val="24"/>
        </w:rPr>
        <w:t>,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ao declarar a interdição, com base no art. 41 do CC, não estipulou quais seriam as limitações dos atos da vida civil </w:t>
      </w:r>
      <w:r w:rsidR="00A81207" w:rsidRPr="00744F6B">
        <w:rPr>
          <w:rFonts w:ascii="Times New Roman" w:hAnsi="Times New Roman" w:cs="Times New Roman"/>
          <w:sz w:val="24"/>
          <w:szCs w:val="24"/>
        </w:rPr>
        <w:t>aplicáveis à vítima</w:t>
      </w:r>
      <w:r w:rsidRPr="00744F6B">
        <w:rPr>
          <w:rFonts w:ascii="Times New Roman" w:hAnsi="Times New Roman" w:cs="Times New Roman"/>
          <w:sz w:val="24"/>
          <w:szCs w:val="24"/>
        </w:rPr>
        <w:t>, resultando na interdição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de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todos os atos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 da vida civil, constrangendo </w:t>
      </w:r>
      <w:r w:rsidR="006A4E71" w:rsidRPr="00744F6B">
        <w:rPr>
          <w:rFonts w:ascii="Times New Roman" w:hAnsi="Times New Roman" w:cs="Times New Roman"/>
          <w:sz w:val="24"/>
          <w:szCs w:val="24"/>
        </w:rPr>
        <w:t>discriminadamente o direito de reconhecimento da personalidade juríd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ica </w:t>
      </w:r>
      <w:r w:rsidRPr="00744F6B">
        <w:rPr>
          <w:rFonts w:ascii="Times New Roman" w:hAnsi="Times New Roman" w:cs="Times New Roman"/>
          <w:sz w:val="24"/>
          <w:szCs w:val="24"/>
        </w:rPr>
        <w:t>(</w:t>
      </w:r>
      <w:r w:rsidR="00A81207" w:rsidRPr="00744F6B">
        <w:rPr>
          <w:rFonts w:ascii="Times New Roman" w:hAnsi="Times New Roman" w:cs="Times New Roman"/>
          <w:sz w:val="24"/>
          <w:szCs w:val="24"/>
        </w:rPr>
        <w:t>CADH,</w:t>
      </w:r>
      <w:r w:rsidRPr="00744F6B">
        <w:rPr>
          <w:rFonts w:ascii="Times New Roman" w:hAnsi="Times New Roman" w:cs="Times New Roman"/>
          <w:sz w:val="24"/>
          <w:szCs w:val="24"/>
        </w:rPr>
        <w:t xml:space="preserve"> art. 3º)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violando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Fonts w:ascii="Times New Roman" w:hAnsi="Times New Roman" w:cs="Times New Roman"/>
          <w:sz w:val="24"/>
          <w:szCs w:val="24"/>
        </w:rPr>
        <w:t>a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 convencionalidade devido à omissão legislativa.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A </w:t>
      </w:r>
      <w:r w:rsidR="006A4E71" w:rsidRPr="00744F6B">
        <w:rPr>
          <w:rFonts w:ascii="Times New Roman" w:hAnsi="Times New Roman" w:cs="Times New Roman"/>
          <w:color w:val="000000"/>
          <w:sz w:val="24"/>
          <w:szCs w:val="24"/>
        </w:rPr>
        <w:t>legislação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 interna inconvencional 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viola não </w:t>
      </w:r>
      <w:r w:rsidR="00A81207" w:rsidRPr="00744F6B">
        <w:rPr>
          <w:rFonts w:ascii="Times New Roman" w:hAnsi="Times New Roman" w:cs="Times New Roman"/>
          <w:sz w:val="24"/>
          <w:szCs w:val="24"/>
        </w:rPr>
        <w:t>somente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o direito da pessoa, mas também o dever do Estado em adotar disposição</w:t>
      </w:r>
      <w:r w:rsidR="00A81207" w:rsidRPr="00744F6B">
        <w:rPr>
          <w:rFonts w:ascii="Times New Roman" w:hAnsi="Times New Roman" w:cs="Times New Roman"/>
          <w:sz w:val="24"/>
          <w:szCs w:val="24"/>
        </w:rPr>
        <w:t xml:space="preserve"> de direito interno (</w:t>
      </w:r>
      <w:r w:rsidR="006A4E71" w:rsidRPr="00744F6B">
        <w:rPr>
          <w:rFonts w:ascii="Times New Roman" w:hAnsi="Times New Roman" w:cs="Times New Roman"/>
          <w:sz w:val="24"/>
          <w:szCs w:val="24"/>
        </w:rPr>
        <w:t>CADH</w:t>
      </w:r>
      <w:r w:rsidR="00A81207" w:rsidRPr="00744F6B">
        <w:rPr>
          <w:rFonts w:ascii="Times New Roman" w:hAnsi="Times New Roman" w:cs="Times New Roman"/>
          <w:sz w:val="24"/>
          <w:szCs w:val="24"/>
        </w:rPr>
        <w:t>, art. 2º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e CVDT</w:t>
      </w:r>
      <w:r w:rsidR="00A81207" w:rsidRPr="00744F6B">
        <w:rPr>
          <w:rFonts w:ascii="Times New Roman" w:hAnsi="Times New Roman" w:cs="Times New Roman"/>
          <w:sz w:val="24"/>
          <w:szCs w:val="24"/>
        </w:rPr>
        <w:t>, art. 27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) </w:t>
      </w:r>
      <w:r w:rsidRPr="00744F6B">
        <w:rPr>
          <w:rFonts w:ascii="Times New Roman" w:hAnsi="Times New Roman" w:cs="Times New Roman"/>
          <w:sz w:val="24"/>
          <w:szCs w:val="24"/>
        </w:rPr>
        <w:t xml:space="preserve">e </w:t>
      </w:r>
      <w:r w:rsidR="006A4E71" w:rsidRPr="00744F6B">
        <w:rPr>
          <w:rFonts w:ascii="Times New Roman" w:hAnsi="Times New Roman" w:cs="Times New Roman"/>
          <w:sz w:val="24"/>
          <w:szCs w:val="24"/>
        </w:rPr>
        <w:t>de respeitar direitos (</w:t>
      </w:r>
      <w:r w:rsidRPr="00744F6B">
        <w:rPr>
          <w:rFonts w:ascii="Times New Roman" w:hAnsi="Times New Roman" w:cs="Times New Roman"/>
          <w:sz w:val="24"/>
          <w:szCs w:val="24"/>
        </w:rPr>
        <w:t xml:space="preserve">CADH, </w:t>
      </w:r>
      <w:r w:rsidR="006A4E71" w:rsidRPr="00744F6B">
        <w:rPr>
          <w:rFonts w:ascii="Times New Roman" w:hAnsi="Times New Roman" w:cs="Times New Roman"/>
          <w:sz w:val="24"/>
          <w:szCs w:val="24"/>
        </w:rPr>
        <w:t>art. 1º).</w:t>
      </w:r>
    </w:p>
    <w:p w:rsidR="006A4E71" w:rsidRPr="00744F6B" w:rsidRDefault="0078749E" w:rsidP="0078749E">
      <w:pPr>
        <w:pStyle w:val="Estilo20"/>
        <w:outlineLvl w:val="1"/>
        <w:rPr>
          <w:rFonts w:cs="Times New Roman"/>
          <w:szCs w:val="24"/>
        </w:rPr>
      </w:pPr>
      <w:bookmarkStart w:id="14" w:name="_Toc383412279"/>
      <w:r w:rsidRPr="00744F6B">
        <w:rPr>
          <w:rFonts w:cs="Times New Roman"/>
          <w:szCs w:val="24"/>
        </w:rPr>
        <w:t>2.6 </w:t>
      </w:r>
      <w:r w:rsidR="006A4E71" w:rsidRPr="00744F6B">
        <w:rPr>
          <w:rFonts w:cs="Times New Roman"/>
          <w:szCs w:val="24"/>
        </w:rPr>
        <w:t>DAS REPARAÇÕES</w:t>
      </w:r>
      <w:bookmarkEnd w:id="14"/>
    </w:p>
    <w:p w:rsidR="0078749E" w:rsidRPr="00744F6B" w:rsidRDefault="00612F6B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>Segundo o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art. 63.1 da CADH e jurisprudência da CrIDH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83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e do ICJ</w:t>
      </w:r>
      <w:r w:rsidR="006A4E71" w:rsidRPr="00744F6B">
        <w:rPr>
          <w:rStyle w:val="Refdenotaderodap3"/>
          <w:rFonts w:ascii="Times New Roman" w:hAnsi="Times New Roman" w:cs="Times New Roman"/>
          <w:sz w:val="24"/>
          <w:szCs w:val="24"/>
        </w:rPr>
        <w:footnoteReference w:id="84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, cumpre ao Estado, quando </w:t>
      </w:r>
      <w:r w:rsidRPr="00744F6B">
        <w:rPr>
          <w:rFonts w:ascii="Times New Roman" w:hAnsi="Times New Roman" w:cs="Times New Roman"/>
          <w:sz w:val="24"/>
          <w:szCs w:val="24"/>
        </w:rPr>
        <w:t>responsabilizado internacionalmente por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violação aos direitos humanos</w:t>
      </w:r>
      <w:r w:rsidR="006A4E71" w:rsidRPr="00744F6B">
        <w:rPr>
          <w:rStyle w:val="Refdenotaderodap3"/>
          <w:rFonts w:ascii="Times New Roman" w:hAnsi="Times New Roman" w:cs="Times New Roman"/>
          <w:sz w:val="24"/>
          <w:szCs w:val="24"/>
        </w:rPr>
        <w:footnoteReference w:id="85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, o dever de reparar os danos causados e adotar medidas de </w:t>
      </w:r>
      <w:r w:rsidRPr="00744F6B">
        <w:rPr>
          <w:rFonts w:ascii="Times New Roman" w:hAnsi="Times New Roman" w:cs="Times New Roman"/>
          <w:sz w:val="24"/>
          <w:szCs w:val="24"/>
        </w:rPr>
        <w:t>interrupção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das consequentes violações.</w:t>
      </w:r>
    </w:p>
    <w:p w:rsidR="0078749E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Destarte, os fatos e fundamentos expostos, a responsabilização internacional de Exclutia pela violação dos artigos da CADH não deve ficar restrita à sentença, mesmo que esta se constitua uma espécie autônoma de reparação</w:t>
      </w:r>
      <w:r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86"/>
      </w:r>
      <w:r w:rsidRPr="00744F6B">
        <w:rPr>
          <w:rFonts w:ascii="Times New Roman" w:hAnsi="Times New Roman" w:cs="Times New Roman"/>
          <w:sz w:val="24"/>
          <w:szCs w:val="24"/>
        </w:rPr>
        <w:t xml:space="preserve">, mas condenar Exclutia às reparações em benefício da </w:t>
      </w:r>
      <w:r w:rsidR="00612F6B" w:rsidRPr="00744F6B">
        <w:rPr>
          <w:rFonts w:ascii="Times New Roman" w:hAnsi="Times New Roman" w:cs="Times New Roman"/>
          <w:sz w:val="24"/>
          <w:szCs w:val="24"/>
        </w:rPr>
        <w:t>Srta. Tovar</w:t>
      </w:r>
      <w:r w:rsidRPr="00744F6B">
        <w:rPr>
          <w:rFonts w:ascii="Times New Roman" w:hAnsi="Times New Roman" w:cs="Times New Roman"/>
          <w:sz w:val="24"/>
          <w:szCs w:val="24"/>
        </w:rPr>
        <w:t xml:space="preserve"> e demais vítimas que configurem nestas violações.</w:t>
      </w:r>
    </w:p>
    <w:p w:rsidR="0078749E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A reparação </w:t>
      </w:r>
      <w:r w:rsidRPr="00744F6B">
        <w:rPr>
          <w:rFonts w:ascii="Times New Roman" w:hAnsi="Times New Roman" w:cs="Times New Roman"/>
          <w:sz w:val="24"/>
          <w:szCs w:val="24"/>
        </w:rPr>
        <w:t>por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danos materiais visa cobrir gastos pecuniários relacionados aos fatos declarados.</w:t>
      </w:r>
      <w:r w:rsidRPr="00744F6B">
        <w:rPr>
          <w:rStyle w:val="Refdenotaderodap4"/>
          <w:rFonts w:ascii="Times New Roman" w:hAnsi="Times New Roman" w:cs="Times New Roman"/>
          <w:color w:val="000000"/>
          <w:sz w:val="24"/>
          <w:szCs w:val="24"/>
        </w:rPr>
        <w:footnoteReference w:id="87"/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 xml:space="preserve"> Neste sentido, verifica-se que </w:t>
      </w:r>
      <w:r w:rsidRPr="00744F6B">
        <w:rPr>
          <w:rFonts w:ascii="Times New Roman" w:hAnsi="Times New Roman" w:cs="Times New Roman"/>
          <w:sz w:val="24"/>
          <w:szCs w:val="24"/>
        </w:rPr>
        <w:t>devido à falta de políticas públicas educacionais efetivas e de assistência de Exclutia em promover a integração social das pessoas deficientes, limitou as expectativas da vítima quanto às possibilidades presentes e futuras de qualidade de vida, devido ao grau de dependência desenvolvido em decorrência da omissão estatal, para auxiliar no desenvolvimento de habilidades educacionais e laborais.</w:t>
      </w:r>
    </w:p>
    <w:p w:rsidR="0078749E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Outra reparação diz respeito aos danos imateriais, que compreendem: o sofrimento psicológico, o físico da vítima e a ausência de tutela efetiva das autoridades em determinar os fatos ocorridos com a vítima.</w:t>
      </w:r>
      <w:r w:rsidRPr="00744F6B">
        <w:rPr>
          <w:rStyle w:val="Refdenotaderodap3"/>
          <w:rFonts w:ascii="Times New Roman" w:hAnsi="Times New Roman" w:cs="Times New Roman"/>
          <w:sz w:val="24"/>
          <w:szCs w:val="24"/>
        </w:rPr>
        <w:footnoteReference w:id="88"/>
      </w:r>
      <w:r w:rsidRPr="00744F6B">
        <w:rPr>
          <w:rFonts w:ascii="Times New Roman" w:hAnsi="Times New Roman" w:cs="Times New Roman"/>
          <w:sz w:val="24"/>
          <w:szCs w:val="24"/>
        </w:rPr>
        <w:t xml:space="preserve"> A ineficiência da tutela jurisdicional prestado por Exclutia submeteu a vítima a sofrimentos psicológicos e físicos em “La Casita”, consequentemente o Estado deve responder pelos atos praticados, não só com a responsabilização internacional, mas minimamente em forma de pecúnia, conforme demo</w:t>
      </w:r>
      <w:r w:rsidR="002C7ACF" w:rsidRPr="00744F6B">
        <w:rPr>
          <w:rFonts w:ascii="Times New Roman" w:hAnsi="Times New Roman" w:cs="Times New Roman"/>
          <w:sz w:val="24"/>
          <w:szCs w:val="24"/>
        </w:rPr>
        <w:t>n</w:t>
      </w:r>
      <w:r w:rsidRPr="00744F6B">
        <w:rPr>
          <w:rFonts w:ascii="Times New Roman" w:hAnsi="Times New Roman" w:cs="Times New Roman"/>
          <w:sz w:val="24"/>
          <w:szCs w:val="24"/>
        </w:rPr>
        <w:t>stra a jurisprudência da CrIDH.</w:t>
      </w:r>
    </w:p>
    <w:p w:rsidR="0078749E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Style w:val="Refdenotaderodap3"/>
          <w:rFonts w:ascii="Times New Roman" w:hAnsi="Times New Roman" w:cs="Times New Roman"/>
          <w:sz w:val="24"/>
          <w:szCs w:val="24"/>
          <w:vertAlign w:val="baseline"/>
        </w:rPr>
      </w:pPr>
      <w:r w:rsidRPr="00744F6B">
        <w:rPr>
          <w:rFonts w:ascii="Times New Roman" w:hAnsi="Times New Roman" w:cs="Times New Roman"/>
          <w:sz w:val="24"/>
          <w:szCs w:val="24"/>
        </w:rPr>
        <w:lastRenderedPageBreak/>
        <w:t>Outras reparações podem ser arbitradas pela CrIDH, no sentido de responsabilizar Exclutia a prevenir e promover direitos e liberdades da CADH, bem como garantir futuras reparações sem ter necessariamente que serem levadas ao conhecimento do SIDH, como ordenar: a) a publicação integral ou partes da sentença mais pedido de desculpas formal à vítima; b) o planejamento de capacitação continuada em direitos humanos aos agentes estatais, para maximizar a aplicação dos tratados internacionais de direitos humanos; c) a adequação da legislação interna, como forma de prevenir futuras violações a CADH; d) a adoção de políticas públicas de inclusão social, pois não foram suficientes os investimentos e as tentativas adotadas por Exclutia; e) revisão legislativa, para rev</w:t>
      </w:r>
      <w:r w:rsidR="002C7ACF" w:rsidRPr="00744F6B">
        <w:rPr>
          <w:rFonts w:ascii="Times New Roman" w:hAnsi="Times New Roman" w:cs="Times New Roman"/>
          <w:sz w:val="24"/>
          <w:szCs w:val="24"/>
        </w:rPr>
        <w:t xml:space="preserve">ogar o art. 41 do CC, pois </w:t>
      </w:r>
      <w:r w:rsidRPr="00744F6B">
        <w:rPr>
          <w:rFonts w:ascii="Times New Roman" w:hAnsi="Times New Roman" w:cs="Times New Roman"/>
          <w:sz w:val="24"/>
          <w:szCs w:val="24"/>
        </w:rPr>
        <w:t>incompatível com os tratados internacionais de direitos humanos; f) a inves</w:t>
      </w:r>
      <w:r w:rsidR="002C7ACF" w:rsidRPr="00744F6B">
        <w:rPr>
          <w:rFonts w:ascii="Times New Roman" w:hAnsi="Times New Roman" w:cs="Times New Roman"/>
          <w:sz w:val="24"/>
          <w:szCs w:val="24"/>
        </w:rPr>
        <w:t xml:space="preserve">tigação eficaz de </w:t>
      </w:r>
      <w:r w:rsidRPr="00744F6B">
        <w:rPr>
          <w:rFonts w:ascii="Times New Roman" w:hAnsi="Times New Roman" w:cs="Times New Roman"/>
          <w:sz w:val="24"/>
          <w:szCs w:val="24"/>
        </w:rPr>
        <w:t>denúncia de violação aos direitos e liberdades previs</w:t>
      </w:r>
      <w:r w:rsidR="002C7ACF" w:rsidRPr="00744F6B">
        <w:rPr>
          <w:rFonts w:ascii="Times New Roman" w:hAnsi="Times New Roman" w:cs="Times New Roman"/>
          <w:sz w:val="24"/>
          <w:szCs w:val="24"/>
        </w:rPr>
        <w:t>tos na CADH, começando</w:t>
      </w:r>
      <w:r w:rsidRPr="00744F6B">
        <w:rPr>
          <w:rFonts w:ascii="Times New Roman" w:hAnsi="Times New Roman" w:cs="Times New Roman"/>
          <w:sz w:val="24"/>
          <w:szCs w:val="24"/>
        </w:rPr>
        <w:t xml:space="preserve"> po</w:t>
      </w:r>
      <w:r w:rsidR="002C7ACF" w:rsidRPr="00744F6B">
        <w:rPr>
          <w:rFonts w:ascii="Times New Roman" w:hAnsi="Times New Roman" w:cs="Times New Roman"/>
          <w:sz w:val="24"/>
          <w:szCs w:val="24"/>
        </w:rPr>
        <w:t>r “La Casita” e funcionários; g)</w:t>
      </w:r>
      <w:r w:rsidRPr="00744F6B">
        <w:rPr>
          <w:rFonts w:ascii="Times New Roman" w:hAnsi="Times New Roman" w:cs="Times New Roman"/>
          <w:sz w:val="24"/>
          <w:szCs w:val="24"/>
        </w:rPr>
        <w:t xml:space="preserve"> estabele</w:t>
      </w:r>
      <w:r w:rsidR="002C7ACF" w:rsidRPr="00744F6B">
        <w:rPr>
          <w:rFonts w:ascii="Times New Roman" w:hAnsi="Times New Roman" w:cs="Times New Roman"/>
          <w:sz w:val="24"/>
          <w:szCs w:val="24"/>
        </w:rPr>
        <w:t>cimento</w:t>
      </w:r>
      <w:r w:rsidRPr="00744F6B">
        <w:rPr>
          <w:rFonts w:ascii="Times New Roman" w:hAnsi="Times New Roman" w:cs="Times New Roman"/>
          <w:sz w:val="24"/>
          <w:szCs w:val="24"/>
        </w:rPr>
        <w:t xml:space="preserve"> procedimentos de supervisão e correição nas instituição de Exclutia, a fim de que garantam a aplicação dos direitos e garantidas da CADH</w:t>
      </w:r>
      <w:r w:rsidR="002C7ACF" w:rsidRPr="00744F6B">
        <w:rPr>
          <w:rFonts w:ascii="Times New Roman" w:hAnsi="Times New Roman" w:cs="Times New Roman"/>
          <w:sz w:val="24"/>
          <w:szCs w:val="24"/>
        </w:rPr>
        <w:t>; h) iniciar programa de restrição dos internamentos psiquiátricos, autorizando-os somente em casos de excepcional gravidade</w:t>
      </w:r>
      <w:r w:rsidR="002C7ACF" w:rsidRPr="00744F6B">
        <w:rPr>
          <w:rStyle w:val="FootnoteReference"/>
          <w:rFonts w:ascii="Times New Roman" w:hAnsi="Times New Roman" w:cs="Times New Roman"/>
          <w:sz w:val="24"/>
          <w:szCs w:val="24"/>
        </w:rPr>
        <w:footnoteReference w:id="89"/>
      </w:r>
      <w:r w:rsidR="002C7ACF" w:rsidRPr="00744F6B">
        <w:rPr>
          <w:rFonts w:ascii="Times New Roman" w:hAnsi="Times New Roman" w:cs="Times New Roman"/>
          <w:sz w:val="24"/>
          <w:szCs w:val="24"/>
        </w:rPr>
        <w:t>.</w:t>
      </w:r>
      <w:r w:rsidRPr="00744F6B">
        <w:rPr>
          <w:rStyle w:val="Refdenotaderodap3"/>
          <w:rFonts w:ascii="Times New Roman" w:hAnsi="Times New Roman" w:cs="Times New Roman"/>
          <w:sz w:val="24"/>
          <w:szCs w:val="24"/>
        </w:rPr>
        <w:t xml:space="preserve"> </w:t>
      </w:r>
      <w:r w:rsidRPr="00744F6B">
        <w:rPr>
          <w:rStyle w:val="Refdenotaderodap3"/>
          <w:rFonts w:ascii="Times New Roman" w:hAnsi="Times New Roman" w:cs="Times New Roman"/>
          <w:sz w:val="24"/>
          <w:szCs w:val="24"/>
        </w:rPr>
        <w:footnoteReference w:id="90"/>
      </w:r>
    </w:p>
    <w:p w:rsidR="0078749E" w:rsidRPr="00744F6B" w:rsidRDefault="002C7ACF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sz w:val="24"/>
          <w:szCs w:val="24"/>
        </w:rPr>
        <w:t>Indica-se também o arbitramento de</w:t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valor de reembolso por equidade</w:t>
      </w:r>
      <w:r w:rsidR="006A4E71" w:rsidRPr="00744F6B">
        <w:rPr>
          <w:rStyle w:val="Refdenotaderodap4"/>
          <w:rFonts w:ascii="Times New Roman" w:hAnsi="Times New Roman" w:cs="Times New Roman"/>
          <w:sz w:val="24"/>
          <w:szCs w:val="24"/>
        </w:rPr>
        <w:footnoteReference w:id="91"/>
      </w:r>
      <w:r w:rsidR="006A4E71" w:rsidRPr="00744F6B">
        <w:rPr>
          <w:rFonts w:ascii="Times New Roman" w:hAnsi="Times New Roman" w:cs="Times New Roman"/>
          <w:sz w:val="24"/>
          <w:szCs w:val="24"/>
        </w:rPr>
        <w:t xml:space="preserve"> referente aos gastos com custas e ônus sucumbenciais despendidos pela vítima e representantes, na busca do cumprimento dos direitos e liberdades previstas na CADH por Exclutia.</w:t>
      </w:r>
    </w:p>
    <w:p w:rsidR="006A4E71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Outrossim</w:t>
      </w:r>
      <w:r w:rsidRPr="00744F6B">
        <w:rPr>
          <w:rFonts w:ascii="Times New Roman" w:hAnsi="Times New Roman" w:cs="Times New Roman"/>
          <w:sz w:val="24"/>
          <w:szCs w:val="24"/>
        </w:rPr>
        <w:t>, quando à modalidade de cumprimento dos pagamentos das reparações pecuniárias ordenadas pela CrIDH, indica-se como paradigma os mais recentes casos, por exemplo, Luna Gutiérrez e Família Vs. Argentina e López Vs. Honduras</w:t>
      </w:r>
      <w:r w:rsidRPr="00744F6B">
        <w:rPr>
          <w:rStyle w:val="Refdenotaderodap3"/>
          <w:rFonts w:ascii="Times New Roman" w:hAnsi="Times New Roman" w:cs="Times New Roman"/>
          <w:sz w:val="24"/>
          <w:szCs w:val="24"/>
        </w:rPr>
        <w:footnoteReference w:id="92"/>
      </w:r>
      <w:r w:rsidRPr="00744F6B">
        <w:rPr>
          <w:rFonts w:ascii="Times New Roman" w:hAnsi="Times New Roman" w:cs="Times New Roman"/>
          <w:sz w:val="24"/>
          <w:szCs w:val="24"/>
        </w:rPr>
        <w:t xml:space="preserve">, para determinar: o </w:t>
      </w:r>
      <w:r w:rsidRPr="00744F6B">
        <w:rPr>
          <w:rFonts w:ascii="Times New Roman" w:hAnsi="Times New Roman" w:cs="Times New Roman"/>
          <w:sz w:val="24"/>
          <w:szCs w:val="24"/>
        </w:rPr>
        <w:lastRenderedPageBreak/>
        <w:t xml:space="preserve">pagamento integral em dólares ou valor correspondente em moeda nacional, no prazo máximo de </w:t>
      </w:r>
      <w:r w:rsidR="00B60494" w:rsidRPr="00744F6B">
        <w:rPr>
          <w:rFonts w:ascii="Times New Roman" w:hAnsi="Times New Roman" w:cs="Times New Roman"/>
          <w:sz w:val="24"/>
          <w:szCs w:val="24"/>
        </w:rPr>
        <w:t>um</w:t>
      </w:r>
      <w:r w:rsidRPr="00744F6B">
        <w:rPr>
          <w:rFonts w:ascii="Times New Roman" w:hAnsi="Times New Roman" w:cs="Times New Roman"/>
          <w:sz w:val="24"/>
          <w:szCs w:val="24"/>
        </w:rPr>
        <w:t xml:space="preserve"> ano à beneficiária, sem descontos tributários e submetido à mora, se </w:t>
      </w:r>
      <w:r w:rsidRPr="00744F6B">
        <w:rPr>
          <w:rFonts w:ascii="Times New Roman" w:hAnsi="Times New Roman" w:cs="Times New Roman"/>
          <w:color w:val="000000"/>
          <w:sz w:val="24"/>
          <w:szCs w:val="24"/>
        </w:rPr>
        <w:t>ocorrer atraso.</w:t>
      </w:r>
    </w:p>
    <w:p w:rsidR="006A4E71" w:rsidRPr="00744F6B" w:rsidRDefault="006A4E71" w:rsidP="00005661">
      <w:pPr>
        <w:pStyle w:val="Estilo1"/>
        <w:rPr>
          <w:rFonts w:cs="Times New Roman"/>
          <w:color w:val="000000"/>
          <w:szCs w:val="24"/>
        </w:rPr>
      </w:pPr>
      <w:bookmarkStart w:id="15" w:name="_Toc383412280"/>
      <w:r w:rsidRPr="00744F6B">
        <w:rPr>
          <w:rFonts w:cs="Times New Roman"/>
          <w:szCs w:val="24"/>
        </w:rPr>
        <w:t>3 SOLICITAÇÃO DE ASSISTÊNCIA</w:t>
      </w:r>
      <w:bookmarkEnd w:id="15"/>
    </w:p>
    <w:p w:rsidR="006A4E71" w:rsidRPr="00744F6B" w:rsidRDefault="006A4E71" w:rsidP="0078749E">
      <w:pPr>
        <w:pStyle w:val="ListParagraph"/>
        <w:numPr>
          <w:ilvl w:val="0"/>
          <w:numId w:val="3"/>
        </w:numPr>
        <w:suppressLineNumbers/>
        <w:tabs>
          <w:tab w:val="clear" w:pos="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6B">
        <w:rPr>
          <w:rFonts w:ascii="Times New Roman" w:hAnsi="Times New Roman" w:cs="Times New Roman"/>
          <w:color w:val="000000"/>
          <w:sz w:val="24"/>
          <w:szCs w:val="24"/>
        </w:rPr>
        <w:t>Diante</w:t>
      </w:r>
      <w:r w:rsidRPr="00744F6B">
        <w:rPr>
          <w:rFonts w:ascii="Times New Roman" w:hAnsi="Times New Roman" w:cs="Times New Roman"/>
          <w:sz w:val="24"/>
          <w:szCs w:val="24"/>
        </w:rPr>
        <w:t xml:space="preserve"> do exposto, requer-se respeitosamente a Honorável CrIDH: (a) concessão da medida provisória, conf. §§</w:t>
      </w:r>
      <w:r w:rsidR="007D475E">
        <w:rPr>
          <w:rFonts w:ascii="Times New Roman" w:hAnsi="Times New Roman" w:cs="Times New Roman"/>
          <w:sz w:val="24"/>
          <w:szCs w:val="24"/>
        </w:rPr>
        <w:t>23 a 28</w:t>
      </w:r>
      <w:r w:rsidRPr="00744F6B">
        <w:rPr>
          <w:rFonts w:ascii="Times New Roman" w:hAnsi="Times New Roman" w:cs="Times New Roman"/>
          <w:sz w:val="24"/>
          <w:szCs w:val="24"/>
        </w:rPr>
        <w:t>; (b) reconhecimento da admissibilidade, conf. §§</w:t>
      </w:r>
      <w:r w:rsidR="007D475E">
        <w:rPr>
          <w:rFonts w:ascii="Times New Roman" w:hAnsi="Times New Roman" w:cs="Times New Roman"/>
          <w:sz w:val="24"/>
          <w:szCs w:val="24"/>
        </w:rPr>
        <w:t>29 a 35</w:t>
      </w:r>
      <w:r w:rsidRPr="00744F6B">
        <w:rPr>
          <w:rFonts w:ascii="Times New Roman" w:hAnsi="Times New Roman" w:cs="Times New Roman"/>
          <w:sz w:val="24"/>
          <w:szCs w:val="24"/>
        </w:rPr>
        <w:t>; (c) reconhecimento da responsabilidade internacional de Exclutia pela violação dos direitos estabelecidos nos arts. 1.1, 2º, 3º, 5º, 7º, 8.1, 11, 17</w:t>
      </w:r>
      <w:r w:rsidR="00246F10">
        <w:rPr>
          <w:rFonts w:ascii="Times New Roman" w:hAnsi="Times New Roman" w:cs="Times New Roman"/>
          <w:sz w:val="24"/>
          <w:szCs w:val="24"/>
        </w:rPr>
        <w:t>,</w:t>
      </w:r>
      <w:r w:rsidRPr="00744F6B">
        <w:rPr>
          <w:rFonts w:ascii="Times New Roman" w:hAnsi="Times New Roman" w:cs="Times New Roman"/>
          <w:sz w:val="24"/>
          <w:szCs w:val="24"/>
        </w:rPr>
        <w:t xml:space="preserve"> 24, 25.1 e 26 da CADH, conf. §§</w:t>
      </w:r>
      <w:r w:rsidR="007D475E">
        <w:rPr>
          <w:rFonts w:ascii="Times New Roman" w:hAnsi="Times New Roman" w:cs="Times New Roman"/>
          <w:sz w:val="24"/>
          <w:szCs w:val="24"/>
        </w:rPr>
        <w:t>36 a 80</w:t>
      </w:r>
      <w:r w:rsidRPr="00744F6B">
        <w:rPr>
          <w:rFonts w:ascii="Times New Roman" w:hAnsi="Times New Roman" w:cs="Times New Roman"/>
          <w:sz w:val="24"/>
          <w:szCs w:val="24"/>
        </w:rPr>
        <w:t>; e, (d) arbitramento das reparações cabíveis e do pagamento das custas, conf. §§</w:t>
      </w:r>
      <w:r w:rsidR="007D475E">
        <w:rPr>
          <w:rFonts w:ascii="Times New Roman" w:hAnsi="Times New Roman" w:cs="Times New Roman"/>
          <w:sz w:val="24"/>
          <w:szCs w:val="24"/>
        </w:rPr>
        <w:t>81 a 87</w:t>
      </w:r>
      <w:r w:rsidRPr="00744F6B">
        <w:rPr>
          <w:rFonts w:ascii="Times New Roman" w:hAnsi="Times New Roman" w:cs="Times New Roman"/>
          <w:sz w:val="24"/>
          <w:szCs w:val="24"/>
        </w:rPr>
        <w:t>.</w:t>
      </w:r>
    </w:p>
    <w:sectPr w:rsidR="006A4E71" w:rsidRPr="00744F6B" w:rsidSect="00D60E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3C" w:rsidRDefault="00D6693C">
      <w:r>
        <w:separator/>
      </w:r>
    </w:p>
  </w:endnote>
  <w:endnote w:type="continuationSeparator" w:id="0">
    <w:p w:rsidR="00D6693C" w:rsidRDefault="00D6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2B62D4">
    <w:pPr>
      <w:pStyle w:val="Header"/>
      <w:jc w:val="center"/>
    </w:pPr>
    <w:r>
      <w:rPr>
        <w:rFonts w:cs="Times New Roman"/>
      </w:rPr>
      <w:fldChar w:fldCharType="begin"/>
    </w:r>
    <w:r w:rsidR="00727AD4"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727AD4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Pr="00C45122" w:rsidRDefault="002B62D4">
    <w:pPr>
      <w:pStyle w:val="Header"/>
      <w:jc w:val="center"/>
      <w:rPr>
        <w:rFonts w:ascii="Times New Roman" w:hAnsi="Times New Roman" w:cs="Times New Roman"/>
      </w:rPr>
    </w:pPr>
    <w:r w:rsidRPr="00C45122">
      <w:rPr>
        <w:rFonts w:ascii="Times New Roman" w:hAnsi="Times New Roman" w:cs="Times New Roman"/>
      </w:rPr>
      <w:fldChar w:fldCharType="begin"/>
    </w:r>
    <w:r w:rsidR="00727AD4" w:rsidRPr="00C45122">
      <w:rPr>
        <w:rFonts w:ascii="Times New Roman" w:hAnsi="Times New Roman" w:cs="Times New Roman"/>
      </w:rPr>
      <w:instrText xml:space="preserve"> PAGE </w:instrText>
    </w:r>
    <w:r w:rsidRPr="00C45122">
      <w:rPr>
        <w:rFonts w:ascii="Times New Roman" w:hAnsi="Times New Roman" w:cs="Times New Roman"/>
      </w:rPr>
      <w:fldChar w:fldCharType="separate"/>
    </w:r>
    <w:r w:rsidR="005563CF">
      <w:rPr>
        <w:rFonts w:ascii="Times New Roman" w:hAnsi="Times New Roman" w:cs="Times New Roman"/>
        <w:noProof/>
      </w:rPr>
      <w:t>35</w:t>
    </w:r>
    <w:r w:rsidRPr="00C45122">
      <w:rPr>
        <w:rFonts w:ascii="Times New Roman" w:hAnsi="Times New Roman" w:cs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3C" w:rsidRDefault="00D6693C">
      <w:r>
        <w:separator/>
      </w:r>
    </w:p>
  </w:footnote>
  <w:footnote w:type="continuationSeparator" w:id="0">
    <w:p w:rsidR="00D6693C" w:rsidRDefault="00D6693C">
      <w:r>
        <w:continuationSeparator/>
      </w:r>
    </w:p>
  </w:footnote>
  <w:footnote w:id="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da Penitenciária Urso Branco em relação ao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Matéria da Penitenciária Urso Branco em relação ao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Matéria da Penitenciária Urso Branco em relação ao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18/6/2002, consid. n. 6.</w:t>
      </w:r>
    </w:p>
  </w:footnote>
  <w:footnote w:id="2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Herrera Ulloa Vs. Costa Rica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Herrera Ulloa Vs. Costa Rica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Herrera Ulloa Vs. Costa Rica"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6/12/2001, consid. n. 2 e 3.</w:t>
      </w:r>
    </w:p>
  </w:footnote>
  <w:footnote w:id="3">
    <w:p w:rsidR="00727AD4" w:rsidRPr="007D475E" w:rsidRDefault="00727AD4" w:rsidP="0078749E">
      <w:pPr>
        <w:pStyle w:val="WW-Notaderodap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Uzcátegui e Outros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Venezuela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Uzcátegui e Outros Vs. Venezuela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Uzcátegui e Outros Vs. Venezuela"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Sent. 3/9/2012. Serie C No. 249, §32.</w:t>
      </w:r>
    </w:p>
  </w:footnote>
  <w:footnote w:id="4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das Pessoas Privadas de Liberdade da Penitenciária "Dr. Sebastião Martins Silveira" em Araraquara, São Paulo em relação ao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Matéria das Pessoas Privadas de Liberdade da Penitenciária </w:instrText>
      </w:r>
      <w:r w:rsidRPr="0078749E">
        <w:rPr>
          <w:rFonts w:ascii="Times New Roman" w:hAnsi="Times New Roman" w:cs="Times New Roman"/>
          <w:sz w:val="20"/>
          <w:szCs w:val="20"/>
        </w:rPr>
        <w:instrText>\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"Dr. Sebastião Martins Silveira</w:instrText>
      </w:r>
      <w:r w:rsidRPr="0078749E">
        <w:rPr>
          <w:rFonts w:ascii="Times New Roman" w:hAnsi="Times New Roman" w:cs="Times New Roman"/>
          <w:sz w:val="20"/>
          <w:szCs w:val="20"/>
        </w:rPr>
        <w:instrText>\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" em Araraquara, São Paulo em relação ao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Matéria das Pessoas Privadas de Liberdade da Penitenciária \"Dr. Sebastião Martins Silveira\" em Araraquara, São Paulo em relação ao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Res. Presidente CrIDH, 28/7/2006, §6;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da Penitenciária Urso Branco em relação ao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Matéria da Penitenciária Urso Branco em relação ao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18/6/2002, consid. n. 6.</w:t>
      </w:r>
    </w:p>
  </w:footnote>
  <w:footnote w:id="5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das Pessoas Privadas de Liberdade da Penitenciária "Dr. Sebastião Martins Silveira" em Araraquara, São Paulo em relação ao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Matéria das Pessoas Privadas de Liberdade da Penitenciária \"Dr. Sebastião Martins Silveira\" em Araraquara, São Paulo em relação ao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Res. Presidente CrIDH, 28/7/2006, </w:t>
      </w:r>
      <w:r w:rsidR="00D310E8">
        <w:rPr>
          <w:rFonts w:ascii="Times New Roman" w:hAnsi="Times New Roman" w:cs="Times New Roman"/>
          <w:sz w:val="20"/>
          <w:szCs w:val="20"/>
        </w:rPr>
        <w:t>§</w:t>
      </w:r>
      <w:r w:rsidRPr="0078749E">
        <w:rPr>
          <w:rFonts w:ascii="Times New Roman" w:hAnsi="Times New Roman" w:cs="Times New Roman"/>
          <w:sz w:val="20"/>
          <w:szCs w:val="20"/>
        </w:rPr>
        <w:t xml:space="preserve">§3.a e 3.b;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da Penitenciária Urso Branco em relação ao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Matéria da Penitenciária Urso Branco em relação ao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18/6/2002, consid. n. 5.</w:t>
      </w:r>
    </w:p>
  </w:footnote>
  <w:footnote w:id="6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</w:t>
      </w:r>
      <w:r w:rsidRPr="0078749E">
        <w:rPr>
          <w:rFonts w:ascii="Times New Roman" w:eastAsia="Times New Roman" w:hAnsi="Times New Roman" w:cs="Times New Roman"/>
          <w:sz w:val="20"/>
          <w:szCs w:val="20"/>
        </w:rPr>
        <w:t>CrIDH</w:t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das Crianças e Adolescentes Privados de Liberdade no "Complexo do Tatuapé” da FEBEM em relação ao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8749E">
        <w:rPr>
          <w:rFonts w:ascii="Times New Roman" w:eastAsia="Times New Roman" w:hAnsi="Times New Roman" w:cs="Times New Roman"/>
          <w:sz w:val="20"/>
          <w:szCs w:val="20"/>
        </w:rPr>
        <w:instrText>CrIDH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Matéria das Crianças e Adolescentes Privados de Liberdade no </w:instrText>
      </w:r>
      <w:r w:rsidRPr="0078749E">
        <w:rPr>
          <w:rFonts w:ascii="Times New Roman" w:hAnsi="Times New Roman" w:cs="Times New Roman"/>
          <w:sz w:val="20"/>
          <w:szCs w:val="20"/>
        </w:rPr>
        <w:instrText>\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"Complexo do Tatuapé</w:instrText>
      </w:r>
      <w:r w:rsidRPr="0078749E">
        <w:rPr>
          <w:rFonts w:ascii="Times New Roman" w:hAnsi="Times New Roman" w:cs="Times New Roman"/>
          <w:sz w:val="20"/>
          <w:szCs w:val="20"/>
        </w:rPr>
        <w:instrText>\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” da FEBEM em relação ao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Matéria das Crianças e Adolescentes Privados de Liberdade no \"Complexo do Tatuapé\" da FEBEM em relação ao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25/11/2008, consid. n. 7.</w:t>
      </w:r>
    </w:p>
  </w:footnote>
  <w:footnote w:id="7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</w:t>
      </w:r>
      <w:r w:rsidRPr="0078749E">
        <w:rPr>
          <w:rFonts w:ascii="Times New Roman" w:eastAsia="Times New Roman" w:hAnsi="Times New Roman" w:cs="Times New Roman"/>
          <w:sz w:val="20"/>
          <w:szCs w:val="20"/>
        </w:rPr>
        <w:t>CrIDH</w:t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Flores e Outra em relação ao Caso Torres Millacura e Outros Vs. Argentina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8749E">
        <w:rPr>
          <w:rFonts w:ascii="Times New Roman" w:eastAsia="Times New Roman" w:hAnsi="Times New Roman" w:cs="Times New Roman"/>
          <w:sz w:val="20"/>
          <w:szCs w:val="20"/>
        </w:rPr>
        <w:instrText>CrIDH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Matéria Flores e Outra em relação ao Caso Torres Millacura e Outros Vs. Argentina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Matéria Flores e Outra em relação ao Caso Torres Millacura e Outros Vs. Argentina"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Res. CrIDH, 26/11/2013, §3;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Wong Ho Wing em relação ao Peru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Matéria Wong Ho Wing em relação ao Peru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Matéria Wong Ho Wing em relação ao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Res. CrIDH, 22/8/2013; consideração n. 6;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Herrera Ulloa Vs. Costa Rica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Herrera Ulloa Vs. Costa Rica"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6/12/2001, consideração n. 4.</w:t>
      </w:r>
    </w:p>
  </w:footnote>
  <w:footnote w:id="8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</w:t>
      </w:r>
      <w:r w:rsidRPr="0078749E">
        <w:rPr>
          <w:rFonts w:ascii="Times New Roman" w:eastAsia="Times New Roman" w:hAnsi="Times New Roman" w:cs="Times New Roman"/>
          <w:sz w:val="20"/>
          <w:szCs w:val="20"/>
        </w:rPr>
        <w:t>CrIDH</w:t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b/>
          <w:sz w:val="20"/>
          <w:szCs w:val="20"/>
        </w:rPr>
        <w:t>Matéria Flores e Outra em relação ao Caso Torres Millacura e Outros Vs. Argentina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Matéria Flores e Outra em relação ao Caso Torres Millacura e Outros Vs. Argentina"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Res. CrIDH, 26/11/2013; consid. n. 3.</w:t>
      </w:r>
    </w:p>
  </w:footnote>
  <w:footnote w:id="9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</w:t>
      </w:r>
      <w:r w:rsidRPr="0078749E">
        <w:rPr>
          <w:rFonts w:ascii="Times New Roman" w:eastAsia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Las Palmeras Vs. Colômbia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8749E">
        <w:rPr>
          <w:rFonts w:ascii="Times New Roman" w:eastAsia="Times New Roman" w:hAnsi="Times New Roman" w:cs="Times New Roman"/>
          <w:sz w:val="20"/>
          <w:szCs w:val="20"/>
        </w:rPr>
        <w:instrText xml:space="preserve">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Las Palmeras Vs. Colômbia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Las Palmeras Vs. Colômbia"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4/2/2000. Serie C No. 67, §34.</w:t>
      </w:r>
    </w:p>
  </w:footnote>
  <w:footnote w:id="10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eastAsia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Juan Humberto Sánchez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Honduras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D475E">
        <w:rPr>
          <w:rFonts w:ascii="Times New Roman" w:eastAsia="Times New Roman" w:hAnsi="Times New Roman" w:cs="Times New Roman"/>
          <w:sz w:val="20"/>
          <w:szCs w:val="20"/>
          <w:lang w:val="es-MX"/>
        </w:rPr>
        <w:instrText xml:space="preserve">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Juan Humberto Sánchez Vs. Honduras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Juan Humberto Sánchez Vs. Honduras"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Sent. 7/6/2003. Serie C No. 99, §65.</w:t>
      </w:r>
    </w:p>
  </w:footnote>
  <w:footnote w:id="11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Garibaldi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Garibaldi Vs.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Garibaldi Vs.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23/9/2009. Serie C No. 203, §19; </w:t>
      </w:r>
      <w:r w:rsidRPr="0078749E">
        <w:rPr>
          <w:rFonts w:ascii="Times New Roman" w:eastAsia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Manuel Cepeda Vargas Vs. Colômbia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8749E">
        <w:rPr>
          <w:rFonts w:ascii="Times New Roman" w:eastAsia="Times New Roman" w:hAnsi="Times New Roman" w:cs="Times New Roman"/>
          <w:sz w:val="20"/>
          <w:szCs w:val="20"/>
        </w:rPr>
        <w:instrText xml:space="preserve">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Manuel Cepeda Vargas Vs. Colômbia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Manuel Cepeda Vargas Vs. Colômbia"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</w:rPr>
        <w:t>Sent. 26/5/2010. Serie C No. 213, §35.</w:t>
      </w:r>
    </w:p>
  </w:footnote>
  <w:footnote w:id="12">
    <w:p w:rsidR="00727AD4" w:rsidRPr="0078749E" w:rsidRDefault="00727AD4" w:rsidP="0078749E">
      <w:pPr>
        <w:pStyle w:val="FootnoteText"/>
        <w:ind w:left="0" w:firstLine="0"/>
        <w:jc w:val="both"/>
      </w:pPr>
      <w:r w:rsidRPr="0078749E">
        <w:rPr>
          <w:rStyle w:val="Caracteresdenotaderodap"/>
          <w:vertAlign w:val="superscript"/>
        </w:rPr>
        <w:footnoteRef/>
      </w:r>
      <w:r w:rsidRPr="0078749E">
        <w:t xml:space="preserve"> CrIDH. </w:t>
      </w:r>
      <w:r w:rsidRPr="0078749E">
        <w:rPr>
          <w:b/>
          <w:bCs/>
        </w:rPr>
        <w:t>Caso Velásquez Rodríguez Vs. Honduras</w:t>
      </w:r>
      <w:r w:rsidR="002B62D4" w:rsidRPr="0078749E">
        <w:rPr>
          <w:b/>
          <w:bCs/>
        </w:rPr>
        <w:fldChar w:fldCharType="begin"/>
      </w:r>
      <w:r w:rsidRPr="0078749E">
        <w:instrText xml:space="preserve"> TA \l "CrIDH. </w:instrText>
      </w:r>
      <w:r w:rsidRPr="0078749E">
        <w:rPr>
          <w:b/>
          <w:bCs/>
        </w:rPr>
        <w:instrText>Caso Velásquez Rodríguez Vs. Honduras</w:instrText>
      </w:r>
      <w:r w:rsidRPr="0078749E">
        <w:instrText xml:space="preserve">" \s "CrIDH. Caso Velásquez Rodríguez Vs. Honduras" \c 1 </w:instrText>
      </w:r>
      <w:r w:rsidR="002B62D4" w:rsidRPr="0078749E">
        <w:rPr>
          <w:b/>
          <w:bCs/>
        </w:rPr>
        <w:fldChar w:fldCharType="end"/>
      </w:r>
      <w:r w:rsidRPr="0078749E">
        <w:t>. Sent. 26/6/1987. Serie C No. 1, §29.</w:t>
      </w:r>
    </w:p>
  </w:footnote>
  <w:footnote w:id="13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Povo de Saramaka.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Vs. Suriname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Povo de Saramaka. Vs. Suriname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Povo de Saramaka. Vs. Suriname"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>Sent. 28/11/2007. Serie C No. 172, §48.</w:t>
      </w:r>
    </w:p>
  </w:footnote>
  <w:footnote w:id="14">
    <w:p w:rsidR="00727AD4" w:rsidRPr="0078749E" w:rsidRDefault="00727AD4" w:rsidP="0078749E">
      <w:pPr>
        <w:pStyle w:val="FootnoteText"/>
        <w:ind w:left="0" w:firstLine="0"/>
        <w:jc w:val="both"/>
      </w:pPr>
      <w:r w:rsidRPr="0078749E">
        <w:rPr>
          <w:rStyle w:val="Caracteresdenotaderodap"/>
          <w:vertAlign w:val="superscript"/>
        </w:rPr>
        <w:footnoteRef/>
      </w:r>
      <w:r w:rsidRPr="0078749E">
        <w:t xml:space="preserve"> CrIDH. </w:t>
      </w:r>
      <w:r w:rsidRPr="0078749E">
        <w:rPr>
          <w:b/>
          <w:bCs/>
        </w:rPr>
        <w:t>Caso Loayza Tomayo Vs. Peru</w:t>
      </w:r>
      <w:r w:rsidR="002B62D4" w:rsidRPr="0078749E">
        <w:rPr>
          <w:b/>
          <w:bCs/>
        </w:rPr>
        <w:fldChar w:fldCharType="begin"/>
      </w:r>
      <w:r w:rsidRPr="0078749E">
        <w:instrText xml:space="preserve"> TA \l "CrIDH. </w:instrText>
      </w:r>
      <w:r w:rsidRPr="0078749E">
        <w:rPr>
          <w:b/>
          <w:bCs/>
        </w:rPr>
        <w:instrText>Caso Loayza Tomayo Vs. Peru</w:instrText>
      </w:r>
      <w:r w:rsidRPr="0078749E">
        <w:instrText xml:space="preserve">" \s "CrIDH. Caso Loayza Tomayo Vs. Peru" \c 1 </w:instrText>
      </w:r>
      <w:r w:rsidR="002B62D4" w:rsidRPr="0078749E">
        <w:rPr>
          <w:b/>
          <w:bCs/>
        </w:rPr>
        <w:fldChar w:fldCharType="end"/>
      </w:r>
      <w:r w:rsidRPr="0078749E">
        <w:t>. Sent. 31/1/1996. Serie C Nº 25, §§ 42 e 44.</w:t>
      </w:r>
    </w:p>
  </w:footnote>
  <w:footnote w:id="15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Gomes Lund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Gomes Lund e Outros Vs.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Gomes Lund e Outros Vs.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24/11/2010. Serie C No. 219, §38.</w:t>
      </w:r>
    </w:p>
  </w:footnote>
  <w:footnote w:id="16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Neira Alegría e Outros Vs. </w:t>
      </w:r>
      <w:r w:rsidRPr="007D475E">
        <w:rPr>
          <w:rFonts w:ascii="Times New Roman" w:hAnsi="Times New Roman" w:cs="Times New Roman"/>
          <w:b/>
          <w:sz w:val="20"/>
          <w:szCs w:val="20"/>
        </w:rPr>
        <w:t>Peru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Caso Neira Alegría e Outros Vs.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>Peru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Neira Alegría e Outros Vs.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 xml:space="preserve">. Sent. 11/12/1991. Serie C No. 13, §30; CrIDH. </w:t>
      </w:r>
      <w:r w:rsidRPr="007D475E">
        <w:rPr>
          <w:rFonts w:ascii="Times New Roman" w:hAnsi="Times New Roman" w:cs="Times New Roman"/>
          <w:b/>
          <w:sz w:val="20"/>
          <w:szCs w:val="20"/>
        </w:rPr>
        <w:t>Caso Cantoral Benavides Vs. Peru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CrIDH.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>Caso Cantoral Benavides Vs. Peru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Cantoral Benavides Vs.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>. Sent. 3/9/1998. Serie C No. 40, §§38 a 40.</w:t>
      </w:r>
    </w:p>
  </w:footnote>
  <w:footnote w:id="17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D475E">
        <w:rPr>
          <w:rFonts w:ascii="Times New Roman" w:hAnsi="Times New Roman" w:cs="Times New Roman"/>
          <w:b/>
          <w:sz w:val="20"/>
          <w:szCs w:val="20"/>
        </w:rPr>
        <w:t xml:space="preserve">Caso Herrera Ulloa Vs. </w:t>
      </w:r>
      <w:r w:rsidRPr="0078749E">
        <w:rPr>
          <w:rFonts w:ascii="Times New Roman" w:hAnsi="Times New Roman" w:cs="Times New Roman"/>
          <w:b/>
          <w:sz w:val="20"/>
          <w:szCs w:val="20"/>
        </w:rPr>
        <w:t>Costa Rica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Herrera Ulloa Vs. Costa Rica"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2/7/2004. Serie C No. 107, §85;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das Crianças Yean e Bosico Vs. República Dominicana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>
        <w:rPr>
          <w:rFonts w:ascii="Times New Roman" w:hAnsi="Times New Roman" w:cs="Times New Roman"/>
          <w:sz w:val="20"/>
          <w:szCs w:val="20"/>
        </w:rPr>
        <w:instrText xml:space="preserve">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das Crianças Yean e Bosico Vs. República Dominicana</w:instrText>
      </w:r>
      <w:r w:rsidRPr="0078749E">
        <w:rPr>
          <w:rFonts w:ascii="Times New Roman" w:hAnsi="Times New Roman" w:cs="Times New Roman"/>
          <w:sz w:val="20"/>
          <w:szCs w:val="20"/>
        </w:rPr>
        <w:instrText>" \s "</w:instrText>
      </w:r>
      <w:r>
        <w:rPr>
          <w:rFonts w:ascii="Times New Roman" w:hAnsi="Times New Roman" w:cs="Times New Roman"/>
          <w:sz w:val="20"/>
          <w:szCs w:val="20"/>
        </w:rPr>
        <w:instrText xml:space="preserve">CrIDH. 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Caso das Crianças Yean e Bosico Vs. República Dominicana"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8/9/2005. Serie C No. 130, §§60 e 61.</w:t>
      </w:r>
    </w:p>
  </w:footnote>
  <w:footnote w:id="18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Herrera Ulloa Vs. Costa Rica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Herrera Ulloa Vs. Costa Rica"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2/7/2004. Serie C No. 107, §85; CrIDH. </w:t>
      </w:r>
      <w:r w:rsidRPr="007D475E">
        <w:rPr>
          <w:rFonts w:ascii="Times New Roman" w:hAnsi="Times New Roman" w:cs="Times New Roman"/>
          <w:b/>
          <w:sz w:val="20"/>
          <w:szCs w:val="20"/>
        </w:rPr>
        <w:t xml:space="preserve">Caso </w:t>
      </w:r>
      <w:r w:rsidRPr="0078749E">
        <w:rPr>
          <w:rFonts w:ascii="Times New Roman" w:hAnsi="Times New Roman" w:cs="Times New Roman"/>
          <w:b/>
          <w:sz w:val="20"/>
          <w:szCs w:val="20"/>
        </w:rPr>
        <w:t>das Crianças</w:t>
      </w:r>
      <w:r w:rsidRPr="007D475E">
        <w:rPr>
          <w:rFonts w:ascii="Times New Roman" w:hAnsi="Times New Roman" w:cs="Times New Roman"/>
          <w:b/>
          <w:sz w:val="20"/>
          <w:szCs w:val="20"/>
        </w:rPr>
        <w:t xml:space="preserve"> Yean e Bosico Vs. República Dominicana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 xml:space="preserve">Caso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das Crianças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 xml:space="preserve"> Yean e Bosico Vs. República Dominicana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das Crianças Yean e Bosico Vs. República Dominicana"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</w:rPr>
        <w:t>Sent. 8/9/2005. Serie C No. 130, §§60 e 61.</w:t>
      </w:r>
    </w:p>
  </w:footnote>
  <w:footnote w:id="19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Opinião Consultiva OC-19/05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Opinião Consultiva OC-19/05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Opinião Consultiva OC-19/05"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, de 28/11/2005. </w: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 xml:space="preserve">Serie A No. 19; CrIDH. </w:t>
      </w:r>
      <w:r w:rsidRPr="0078749E">
        <w:rPr>
          <w:rFonts w:ascii="Times New Roman" w:hAnsi="Times New Roman" w:cs="Times New Roman"/>
          <w:b/>
          <w:sz w:val="20"/>
          <w:szCs w:val="20"/>
          <w:lang w:val="es-ES"/>
        </w:rPr>
        <w:t>Caso Castañeda Gutman Vs México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ES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instrText xml:space="preserve">CrIDH. </w:instrText>
      </w:r>
      <w:r w:rsidRPr="0078749E">
        <w:rPr>
          <w:rFonts w:ascii="Times New Roman" w:hAnsi="Times New Roman" w:cs="Times New Roman"/>
          <w:b/>
          <w:sz w:val="20"/>
          <w:szCs w:val="20"/>
          <w:lang w:val="es-ES"/>
        </w:rPr>
        <w:instrText>Caso Castañeda Gutman Vs México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Castañeda Gutman Vs México"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ES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Sent. 6/8/2008. Serie C No. 184, §40.</w:t>
      </w:r>
    </w:p>
  </w:footnote>
  <w:footnote w:id="20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Caso Velásquez Rodríguez Vs. Honduras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Velásquez Rodríguez Vs. Honduras"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Sent. 26/6/1987. </w:t>
      </w:r>
      <w:r w:rsidRPr="0078749E">
        <w:rPr>
          <w:rFonts w:ascii="Times New Roman" w:hAnsi="Times New Roman" w:cs="Times New Roman"/>
          <w:sz w:val="20"/>
          <w:szCs w:val="20"/>
        </w:rPr>
        <w:t>Serie C No. 1, §30.</w:t>
      </w:r>
    </w:p>
  </w:footnote>
  <w:footnote w:id="21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Neira Alegría e Outros Vs. </w:t>
      </w:r>
      <w:r w:rsidRPr="007D475E">
        <w:rPr>
          <w:rFonts w:ascii="Times New Roman" w:hAnsi="Times New Roman" w:cs="Times New Roman"/>
          <w:b/>
          <w:sz w:val="20"/>
          <w:szCs w:val="20"/>
        </w:rPr>
        <w:t>Peru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</w:rPr>
        <w:instrText xml:space="preserve"> TA \s "CrIDH. Caso Neira Alegría e Outros Vs. Peru"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 xml:space="preserve">. Sent. 11/12/1991. Serie C No. 13, §34; CrIDH. </w:t>
      </w:r>
      <w:r w:rsidRPr="007D475E">
        <w:rPr>
          <w:rFonts w:ascii="Times New Roman" w:hAnsi="Times New Roman" w:cs="Times New Roman"/>
          <w:b/>
          <w:sz w:val="20"/>
          <w:szCs w:val="20"/>
        </w:rPr>
        <w:t>Caso Caballero Delgado e Santana Vs. Colômbia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E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CrIDH.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>Caso Caballero Delgado e Santana Vs. Colômbia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Caballero Delgado e Santana Vs. Colômbia"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ES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>. Sent. 21/1/1994. Serie C No. 17, §54.</w:t>
      </w:r>
    </w:p>
  </w:footnote>
  <w:footnote w:id="22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eastAsia="Times New Roman" w:hAnsi="Times New Roman" w:cs="Times New Roman"/>
          <w:sz w:val="20"/>
          <w:szCs w:val="20"/>
        </w:rPr>
        <w:t xml:space="preserve"> CrIDH. </w:t>
      </w:r>
      <w:r w:rsidRPr="007D475E">
        <w:rPr>
          <w:rFonts w:ascii="Times New Roman" w:hAnsi="Times New Roman" w:cs="Times New Roman"/>
          <w:b/>
          <w:sz w:val="20"/>
          <w:szCs w:val="20"/>
        </w:rPr>
        <w:t xml:space="preserve">Caso Las Palmeras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Colômbia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Las Palmeras Vs. Colômbia"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Sent. 4/2/2000. Serie C No. 67, §34.</w:t>
      </w:r>
    </w:p>
  </w:footnote>
  <w:footnote w:id="23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Opinião Consultiva OC-19/05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Opinião Consultiva OC-19/05"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, de 28/11/2005. Serie A No. 19;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Garibaldi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Garibaldi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23/9/2009. Serie C No. 203, §35.</w:t>
      </w:r>
    </w:p>
  </w:footnote>
  <w:footnote w:id="24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PIOVESAN, Flávia. </w:t>
      </w:r>
      <w:r w:rsidRPr="0078749E">
        <w:rPr>
          <w:rFonts w:ascii="Times New Roman" w:hAnsi="Times New Roman" w:cs="Times New Roman"/>
          <w:b/>
          <w:sz w:val="20"/>
          <w:szCs w:val="20"/>
        </w:rPr>
        <w:t>Direitos humanos e o direito constitucional internacional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"PIOVESAN, Flávia.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Direitos humanos e o direito constitucional internacional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"PIOVESAN, Flávia. Direitos humanos e o direito constitucional internacional"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13. ed. São Paulo: Saraiva, 2012. p. 325-326.</w:t>
      </w:r>
    </w:p>
  </w:footnote>
  <w:footnote w:id="25">
    <w:p w:rsidR="00727AD4" w:rsidRPr="0078749E" w:rsidRDefault="00727AD4" w:rsidP="0078749E">
      <w:pPr>
        <w:pStyle w:val="FootnoteText"/>
        <w:ind w:left="0" w:firstLine="0"/>
        <w:jc w:val="both"/>
      </w:pPr>
      <w:r w:rsidRPr="0078749E">
        <w:rPr>
          <w:rStyle w:val="Caracteresdenotaderodap"/>
          <w:vertAlign w:val="superscript"/>
        </w:rPr>
        <w:footnoteRef/>
      </w:r>
      <w:r w:rsidRPr="0078749E">
        <w:t> Art. 5º das NUIOPD.</w:t>
      </w:r>
    </w:p>
  </w:footnote>
  <w:footnote w:id="26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</w:rPr>
        <w:t xml:space="preserve"> CoDESC. </w:t>
      </w:r>
      <w:r w:rsidRPr="0078749E">
        <w:rPr>
          <w:rFonts w:ascii="Times New Roman" w:hAnsi="Times New Roman" w:cs="Times New Roman"/>
          <w:b/>
          <w:sz w:val="20"/>
          <w:szCs w:val="20"/>
        </w:rPr>
        <w:t>Observação Geral No. 5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CoDESC.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Observação Geral No. 5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"CoDESC. Observação Geral No. 5"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§13.</w:t>
      </w:r>
    </w:p>
  </w:footnote>
  <w:footnote w:id="27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Furlan e Familiares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Argentina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Furlan e Familiares Vs. Argentina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Furlan e Familiares Vs. Argentina"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Sent. 31/8/2012 Serie C No. 246, §135.</w:t>
      </w:r>
    </w:p>
  </w:footnote>
  <w:footnote w:id="28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Acevedo Buendía e Outros Vs. Peru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Acevedo Buendía e Outros Vs. Peru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Acevedo Buendía e Outros Vs.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</w:rPr>
        <w:t>Sent. 1/7/2009. Serie C No. 198, §100.</w:t>
      </w:r>
    </w:p>
  </w:footnote>
  <w:footnote w:id="29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</w:rPr>
        <w:t xml:space="preserve"> TEDH. </w:t>
      </w:r>
      <w:r w:rsidRPr="007D475E">
        <w:rPr>
          <w:rFonts w:ascii="Times New Roman" w:hAnsi="Times New Roman" w:cs="Times New Roman"/>
          <w:b/>
          <w:sz w:val="20"/>
          <w:szCs w:val="20"/>
        </w:rPr>
        <w:t>Caso Airey Vs. Irlanda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TEDH.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>Caso Airey Vs. Irlanda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"TEDH. Caso Airey Vs. Irlanda"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 xml:space="preserve">. Sent. 9/10/1979. </w:t>
      </w:r>
      <w:r w:rsidRPr="0078749E">
        <w:rPr>
          <w:rFonts w:ascii="Times New Roman" w:hAnsi="Times New Roman" w:cs="Times New Roman"/>
          <w:sz w:val="20"/>
          <w:szCs w:val="20"/>
        </w:rPr>
        <w:t>Serie A No. 32, §26.</w:t>
      </w:r>
    </w:p>
  </w:footnote>
  <w:footnote w:id="30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Furlan e Familiares Vs. Argentina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Furlan e Familiares Vs. Argentina"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31/8/2012 Serie C No. 246, §134; CDESC. Observação Geral n°5, §13. </w:t>
      </w:r>
    </w:p>
  </w:footnote>
  <w:footnote w:id="3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das Crianças de Rua Vs. Guatemala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das Crianças de Rua Vs. Guatemala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das Crianças de Rua Vs. Guatemala"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Mérito. Sent. 19/11/1999. Serie C No. 63, voto concorrente do A.A Cançado Trindade e A. Abreu Burrelli.</w:t>
      </w:r>
    </w:p>
  </w:footnote>
  <w:footnote w:id="32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 PERALTA, Ariela. Painel 1: </w: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t>Promoting Safeguards through Detention Visits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 TA \l "PERALTA, Ariela. Painel 1: </w:instrTex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instrText>Promoting Safeguards through Detention Visits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" \s "PERALTA, Ariela. Painel 1: Promoting Safeguards through Detention Visits"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</w:rPr>
        <w:t>In.: Humans Right Brief. Volume 18. Edição Especial, 2011. (Tradução livre)</w:t>
      </w:r>
    </w:p>
  </w:footnote>
  <w:footnote w:id="33">
    <w:p w:rsidR="00727AD4" w:rsidRPr="0078749E" w:rsidRDefault="00727AD4" w:rsidP="0078749E">
      <w:pPr>
        <w:pStyle w:val="FootnoteText"/>
        <w:ind w:left="0" w:firstLine="0"/>
        <w:jc w:val="both"/>
      </w:pPr>
      <w:r w:rsidRPr="0078749E">
        <w:rPr>
          <w:rStyle w:val="Caracteresdenotaderodap"/>
          <w:vertAlign w:val="superscript"/>
        </w:rPr>
        <w:footnoteRef/>
      </w:r>
      <w:r w:rsidRPr="0078749E">
        <w:t xml:space="preserve"> CrIDH. </w:t>
      </w:r>
      <w:r w:rsidRPr="0078749E">
        <w:rPr>
          <w:b/>
        </w:rPr>
        <w:t xml:space="preserve">Caso Gutiérrez Soler Vs. </w:t>
      </w:r>
      <w:r w:rsidR="005A548A">
        <w:rPr>
          <w:b/>
        </w:rPr>
        <w:t>Colômbia</w:t>
      </w:r>
      <w:r w:rsidR="002B62D4" w:rsidRPr="0078749E">
        <w:rPr>
          <w:b/>
        </w:rPr>
        <w:fldChar w:fldCharType="begin"/>
      </w:r>
      <w:r w:rsidRPr="0078749E">
        <w:instrText xml:space="preserve"> TA \l "CrIDH. </w:instrText>
      </w:r>
      <w:r w:rsidRPr="0078749E">
        <w:rPr>
          <w:b/>
        </w:rPr>
        <w:instrText xml:space="preserve">Caso Gutiérrez Soler Vs. </w:instrText>
      </w:r>
      <w:r w:rsidR="005A548A">
        <w:rPr>
          <w:b/>
        </w:rPr>
        <w:instrText>Colômbia</w:instrText>
      </w:r>
      <w:r w:rsidRPr="0078749E">
        <w:instrText xml:space="preserve">" \s "CrIDH. Caso Gutiérrez Soler Vs. </w:instrText>
      </w:r>
      <w:r w:rsidR="005A548A">
        <w:instrText>Colômbia</w:instrText>
      </w:r>
      <w:r w:rsidRPr="0078749E">
        <w:instrText xml:space="preserve">" \c 1 </w:instrText>
      </w:r>
      <w:r w:rsidR="002B62D4" w:rsidRPr="0078749E">
        <w:rPr>
          <w:b/>
        </w:rPr>
        <w:fldChar w:fldCharType="end"/>
      </w:r>
      <w:r w:rsidRPr="0078749E">
        <w:t>. Sent. 12/9/2005. Serie C No 132, § 88.</w:t>
      </w:r>
    </w:p>
  </w:footnote>
  <w:footnote w:id="34">
    <w:p w:rsidR="00727AD4" w:rsidRPr="0078749E" w:rsidRDefault="00727AD4" w:rsidP="0078749E">
      <w:pPr>
        <w:pStyle w:val="FootnoteText"/>
        <w:ind w:left="0" w:firstLine="0"/>
        <w:jc w:val="both"/>
      </w:pPr>
      <w:r w:rsidRPr="0078749E">
        <w:rPr>
          <w:rStyle w:val="Caracteresdenotaderodap"/>
          <w:vertAlign w:val="superscript"/>
        </w:rPr>
        <w:footnoteRef/>
      </w:r>
      <w:r w:rsidRPr="0078749E">
        <w:t xml:space="preserve"> CrIDH. </w:t>
      </w:r>
      <w:r w:rsidRPr="0078749E">
        <w:rPr>
          <w:b/>
        </w:rPr>
        <w:t xml:space="preserve">Caso Suárez Rosero Vs. </w:t>
      </w:r>
      <w:r w:rsidRPr="0078749E">
        <w:rPr>
          <w:b/>
          <w:lang w:val="pt-BR"/>
        </w:rPr>
        <w:t>Equador</w:t>
      </w:r>
      <w:r w:rsidR="002B62D4" w:rsidRPr="0078749E">
        <w:rPr>
          <w:b/>
          <w:lang w:val="en-US"/>
        </w:rPr>
        <w:fldChar w:fldCharType="begin"/>
      </w:r>
      <w:r w:rsidRPr="0078749E">
        <w:instrText xml:space="preserve"> TA \l "CrIDH. </w:instrText>
      </w:r>
      <w:r w:rsidRPr="0078749E">
        <w:rPr>
          <w:b/>
        </w:rPr>
        <w:instrText xml:space="preserve">Caso Suárez Rosero Vs. </w:instrText>
      </w:r>
      <w:r w:rsidRPr="0078749E">
        <w:rPr>
          <w:b/>
          <w:lang w:val="pt-BR"/>
        </w:rPr>
        <w:instrText>Equador</w:instrText>
      </w:r>
      <w:r w:rsidRPr="0078749E">
        <w:instrText xml:space="preserve">" \s "CrIDH. Caso Suárez Rosero Vs. Equador" \c 1 </w:instrText>
      </w:r>
      <w:r w:rsidR="002B62D4" w:rsidRPr="0078749E">
        <w:rPr>
          <w:b/>
          <w:lang w:val="en-US"/>
        </w:rPr>
        <w:fldChar w:fldCharType="end"/>
      </w:r>
      <w:r w:rsidRPr="0078749E">
        <w:t>.</w:t>
      </w:r>
      <w:r w:rsidRPr="0078749E">
        <w:rPr>
          <w:lang w:val="pt-BR"/>
        </w:rPr>
        <w:t xml:space="preserve"> Sent. 12/11/1997. Serie C No. 35.</w:t>
      </w:r>
    </w:p>
  </w:footnote>
  <w:footnote w:id="35">
    <w:p w:rsidR="00727AD4" w:rsidRPr="0078749E" w:rsidRDefault="00727AD4" w:rsidP="0078749E">
      <w:pPr>
        <w:pStyle w:val="FootnoteText"/>
        <w:ind w:left="0" w:firstLine="0"/>
        <w:jc w:val="both"/>
      </w:pPr>
      <w:r w:rsidRPr="0078749E">
        <w:rPr>
          <w:rStyle w:val="Caracteresdenotaderodap"/>
          <w:vertAlign w:val="superscript"/>
        </w:rPr>
        <w:footnoteRef/>
      </w:r>
      <w:r w:rsidRPr="0078749E">
        <w:t xml:space="preserve"> TEDH. </w:t>
      </w:r>
      <w:r w:rsidRPr="0078749E">
        <w:rPr>
          <w:b/>
        </w:rPr>
        <w:t>Torreggiani and others Vs. Italy</w:t>
      </w:r>
      <w:r w:rsidR="002B62D4" w:rsidRPr="0078749E">
        <w:rPr>
          <w:b/>
        </w:rPr>
        <w:fldChar w:fldCharType="begin"/>
      </w:r>
      <w:r w:rsidRPr="0078749E">
        <w:instrText xml:space="preserve"> TA \l "TEDH. </w:instrText>
      </w:r>
      <w:r w:rsidRPr="0078749E">
        <w:rPr>
          <w:b/>
        </w:rPr>
        <w:instrText>Torreggiani and others Vs. Italy</w:instrText>
      </w:r>
      <w:r w:rsidRPr="0078749E">
        <w:instrText xml:space="preserve">" \s "TEDH. Torreggiani and others Vs. Italy" \c 1 </w:instrText>
      </w:r>
      <w:r w:rsidR="002B62D4" w:rsidRPr="0078749E">
        <w:rPr>
          <w:b/>
        </w:rPr>
        <w:fldChar w:fldCharType="end"/>
      </w:r>
      <w:r>
        <w:t>. Ap</w:t>
      </w:r>
      <w:r w:rsidRPr="0078749E">
        <w:t>lica</w:t>
      </w:r>
      <w:r w:rsidRPr="0078749E">
        <w:rPr>
          <w:lang w:val="pt-BR"/>
        </w:rPr>
        <w:t>ção</w:t>
      </w:r>
      <w:r w:rsidRPr="0078749E">
        <w:t xml:space="preserve"> </w:t>
      </w:r>
      <w:r w:rsidRPr="0078749E">
        <w:rPr>
          <w:lang w:val="pt-BR"/>
        </w:rPr>
        <w:t xml:space="preserve">No. </w:t>
      </w:r>
      <w:r w:rsidRPr="0078749E">
        <w:t>43517/09</w:t>
      </w:r>
      <w:r w:rsidRPr="0078749E">
        <w:rPr>
          <w:lang w:val="pt-BR"/>
        </w:rPr>
        <w:t xml:space="preserve"> (2013)</w:t>
      </w:r>
      <w:r w:rsidRPr="0078749E">
        <w:t>.</w:t>
      </w:r>
    </w:p>
  </w:footnote>
  <w:footnote w:id="36">
    <w:p w:rsidR="00727AD4" w:rsidRPr="00D86445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445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D86445">
        <w:rPr>
          <w:rFonts w:ascii="Times New Roman" w:hAnsi="Times New Roman" w:cs="Times New Roman"/>
          <w:b/>
          <w:sz w:val="20"/>
          <w:szCs w:val="20"/>
        </w:rPr>
        <w:t>Caso Raxcacó Reyes Vs. Guatemala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D86445">
        <w:rPr>
          <w:rFonts w:ascii="Times New Roman" w:hAnsi="Times New Roman" w:cs="Times New Roman"/>
          <w:b/>
          <w:sz w:val="20"/>
          <w:szCs w:val="20"/>
        </w:rPr>
        <w:instrText>Caso Raxcacó Reyes Vs. Guatemala</w:instrText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" \s "CrIDH. Caso Raxcacó Reyes Vs. Guatemala"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D86445">
        <w:rPr>
          <w:rFonts w:ascii="Times New Roman" w:hAnsi="Times New Roman" w:cs="Times New Roman"/>
          <w:sz w:val="20"/>
          <w:szCs w:val="20"/>
        </w:rPr>
        <w:t>. Sent. 15/9/2005. Serie C No. 133, §95;</w:t>
      </w:r>
      <w:r w:rsidRPr="00D86445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Pr="00D86445">
        <w:rPr>
          <w:rFonts w:ascii="Times New Roman" w:hAnsi="Times New Roman" w:cs="Times New Roman"/>
          <w:sz w:val="20"/>
          <w:szCs w:val="20"/>
        </w:rPr>
        <w:t xml:space="preserve">CrIDH. </w:t>
      </w:r>
      <w:r w:rsidRPr="00D86445">
        <w:rPr>
          <w:rFonts w:ascii="Times New Roman" w:hAnsi="Times New Roman" w:cs="Times New Roman"/>
          <w:b/>
          <w:sz w:val="20"/>
          <w:szCs w:val="20"/>
        </w:rPr>
        <w:t>Caso Fermín Ramírez Vs. Guatemala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D86445">
        <w:rPr>
          <w:rFonts w:ascii="Times New Roman" w:hAnsi="Times New Roman" w:cs="Times New Roman"/>
          <w:b/>
          <w:sz w:val="20"/>
          <w:szCs w:val="20"/>
        </w:rPr>
        <w:instrText>Caso Fermín Ramírez Vs. Guatemala</w:instrText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" \s "CrIDH. Caso Fermín Ramírez Vs. Guatemala"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86445">
        <w:rPr>
          <w:rFonts w:ascii="Times New Roman" w:hAnsi="Times New Roman" w:cs="Times New Roman"/>
          <w:sz w:val="20"/>
          <w:szCs w:val="20"/>
        </w:rPr>
        <w:t xml:space="preserve">. Sent. 20/6/2005. Serie C No. 126, §118; CrIDH. </w:t>
      </w:r>
      <w:r w:rsidRPr="00D86445">
        <w:rPr>
          <w:rFonts w:ascii="Times New Roman" w:hAnsi="Times New Roman" w:cs="Times New Roman"/>
          <w:b/>
          <w:sz w:val="20"/>
          <w:szCs w:val="20"/>
        </w:rPr>
        <w:t>Caso Caesar Vs. Trindade Tobago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D86445">
        <w:rPr>
          <w:rFonts w:ascii="Times New Roman" w:hAnsi="Times New Roman" w:cs="Times New Roman"/>
          <w:b/>
          <w:sz w:val="20"/>
          <w:szCs w:val="20"/>
        </w:rPr>
        <w:instrText>Caso Caesar Vs. Trindade Tobago</w:instrText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" \s "CrIDH. Caso Caesar Vs. Trindade Tobago"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86445">
        <w:rPr>
          <w:rFonts w:ascii="Times New Roman" w:hAnsi="Times New Roman" w:cs="Times New Roman"/>
          <w:sz w:val="20"/>
          <w:szCs w:val="20"/>
        </w:rPr>
        <w:t>. Sent. 11/3/2005. Serie C No. 123, §96.</w:t>
      </w:r>
    </w:p>
  </w:footnote>
  <w:footnote w:id="37">
    <w:p w:rsidR="00727AD4" w:rsidRPr="00D86445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445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D86445">
        <w:rPr>
          <w:rFonts w:ascii="Times New Roman" w:hAnsi="Times New Roman" w:cs="Times New Roman"/>
          <w:b/>
          <w:sz w:val="20"/>
          <w:szCs w:val="20"/>
        </w:rPr>
        <w:t>Caso García Asto e Ramírez Rojas Vs. Peru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D86445">
        <w:rPr>
          <w:rFonts w:ascii="Times New Roman" w:hAnsi="Times New Roman" w:cs="Times New Roman"/>
          <w:b/>
          <w:sz w:val="20"/>
          <w:szCs w:val="20"/>
        </w:rPr>
        <w:instrText>Caso García Asto e Ramírez Rojas Vs. Peru</w:instrText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" \s "CrIDH. Caso García Asto e Ramírez Rojas Vs.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86445">
        <w:rPr>
          <w:rFonts w:ascii="Times New Roman" w:hAnsi="Times New Roman" w:cs="Times New Roman"/>
          <w:sz w:val="20"/>
          <w:szCs w:val="20"/>
        </w:rPr>
        <w:t>. Sent. 25/11/2005. Serie C No. 137, §221.</w:t>
      </w:r>
    </w:p>
  </w:footnote>
  <w:footnote w:id="38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445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D86445">
        <w:rPr>
          <w:rFonts w:ascii="Times New Roman" w:hAnsi="Times New Roman" w:cs="Times New Roman"/>
          <w:b/>
          <w:sz w:val="20"/>
          <w:szCs w:val="20"/>
        </w:rPr>
        <w:t xml:space="preserve">Caso Ximenes Lopes Vs. </w:t>
      </w:r>
      <w:r w:rsidRPr="0078749E">
        <w:rPr>
          <w:rFonts w:ascii="Times New Roman" w:hAnsi="Times New Roman" w:cs="Times New Roman"/>
          <w:b/>
          <w:sz w:val="20"/>
          <w:szCs w:val="20"/>
        </w:rPr>
        <w:t>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Ximenes Lopes Vs.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Ximenes Lopes Vs.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4/7/2006. Serie C No. 149, §46. </w:t>
      </w:r>
    </w:p>
  </w:footnote>
  <w:footnote w:id="39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445">
        <w:rPr>
          <w:rFonts w:ascii="Times New Roman" w:hAnsi="Times New Roman" w:cs="Times New Roman"/>
          <w:sz w:val="20"/>
          <w:szCs w:val="20"/>
        </w:rPr>
        <w:t> ONU.</w:t>
      </w:r>
      <w:r w:rsidRPr="00D8644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sz w:val="20"/>
          <w:szCs w:val="20"/>
        </w:rPr>
        <w:t xml:space="preserve">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Relator Especial sobre a tortura e outros tratamentos ou penas cruéis, desumanos ou degradantes</w:t>
      </w:r>
      <w:r w:rsidRPr="00D86445">
        <w:rPr>
          <w:rFonts w:ascii="Times New Roman" w:hAnsi="Times New Roman" w:cs="Times New Roman"/>
          <w:b/>
          <w:sz w:val="20"/>
          <w:szCs w:val="20"/>
        </w:rPr>
        <w:t>, Manfred Nowak (A/HRC/13/39)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D86445">
        <w:rPr>
          <w:rFonts w:ascii="Times New Roman" w:hAnsi="Times New Roman" w:cs="Times New Roman"/>
          <w:sz w:val="20"/>
          <w:szCs w:val="20"/>
        </w:rPr>
        <w:instrText>ONU.</w:instrText>
      </w:r>
      <w:r w:rsidRPr="00D86445">
        <w:rPr>
          <w:rFonts w:ascii="Times New Roman" w:hAnsi="Times New Roman" w:cs="Times New Roman"/>
          <w:color w:val="FF0000"/>
          <w:sz w:val="20"/>
          <w:szCs w:val="20"/>
        </w:rPr>
        <w:instrText xml:space="preserve"> 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Conselho de Direitos Humanos.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Relator Especial sobre a tortura e outros tratamentos ou penas cruéis, desumanos ou degradantes</w:instrText>
      </w:r>
      <w:r w:rsidRPr="00D86445">
        <w:rPr>
          <w:rFonts w:ascii="Times New Roman" w:hAnsi="Times New Roman" w:cs="Times New Roman"/>
          <w:b/>
          <w:sz w:val="20"/>
          <w:szCs w:val="20"/>
        </w:rPr>
        <w:instrText>, Manfred Nowak (A/HRC/13/39)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Conselho de Direitos Humanos. Relator Especial sobre a tortura e outros tratamentos ou penas cruéis, desumanos ou degradantes, Manfred Nowak (A/HRC/13/39)"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 w:rsidRPr="00D86445">
        <w:rPr>
          <w:rFonts w:ascii="Times New Roman" w:hAnsi="Times New Roman" w:cs="Times New Roman"/>
          <w:sz w:val="20"/>
          <w:szCs w:val="20"/>
        </w:rPr>
        <w:t xml:space="preserve">. </w:t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t xml:space="preserve">Add.5, §35; 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Burgers, Herman J. and Danelius, Hans. </w: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t>United Nations Convention Against Torture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: A Handbook on the Convention Against Torture and Other, Cruel, Inhuman, or Degrading Treatment or Punishment. </w:t>
      </w:r>
      <w:r w:rsidRPr="0078749E">
        <w:rPr>
          <w:rFonts w:ascii="Times New Roman" w:hAnsi="Times New Roman" w:cs="Times New Roman"/>
          <w:sz w:val="20"/>
          <w:szCs w:val="20"/>
        </w:rPr>
        <w:t>1988, p. 188.</w:t>
      </w:r>
    </w:p>
  </w:footnote>
  <w:footnote w:id="40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OMS. Comissão de Saúde Mental e Prevenção de Abuso de Substâncias. </w:t>
      </w:r>
      <w:r w:rsidRPr="0078749E">
        <w:rPr>
          <w:rFonts w:ascii="Times New Roman" w:hAnsi="Times New Roman" w:cs="Times New Roman"/>
          <w:b/>
          <w:sz w:val="20"/>
          <w:szCs w:val="20"/>
        </w:rPr>
        <w:t>Dez Princípios Básicos das Normas para a Atenção da Saúde Mental (1996)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"OMS. Comissão de Saúde Mental e Prevenção de Abuso de Substâncias.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Dez Princípios Básicos das Normas para a Atenção da Saúde Mental (1996)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"OMS. Comissão de Saúde Mental e Prevenção de Abuso de Substâncias. Dez Princípios Básicos das Normas para a Atenção da Saúde Mental (1996)"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princípios 2, 4 e 5.</w:t>
      </w:r>
    </w:p>
  </w:footnote>
  <w:footnote w:id="4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TEDH.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</w:t>
      </w:r>
      <w:r w:rsidRPr="0078749E">
        <w:rPr>
          <w:rFonts w:ascii="Times New Roman" w:hAnsi="Times New Roman" w:cs="Times New Roman"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b/>
          <w:sz w:val="20"/>
          <w:szCs w:val="20"/>
        </w:rPr>
        <w:t>Peers Vs. Grécia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"TEDH.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Peers Vs. Grécia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"TEDH. Caso Peers Vs. Grécia"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Aplicação No. 28524/95 (2001), §68 e 74; TEDH.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Grori Vs. Albânia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"TEDH.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Grori Vs. Albânia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"TEDH. Caso Grori Vs. Albânia"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Aplicação No. 25336/04 (2009), §125.</w:t>
      </w:r>
    </w:p>
  </w:footnote>
  <w:footnote w:id="42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Relator Especial sobre a tortura e outros tratamentos ou penas cruéis, desumanos ou degradantes, Juan E. Méndez (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A/HRC/22/53)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Conselho de Direitos Humanos.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Relator Especial sobre a tortura e outros tratamentos ou penas cruéis, desumanos ou degradantes, Juan E. Méndez (</w:instrTex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>A/HRC/22/53)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Conselho de Direitos Humanos. Relator Especial sobre a tortura e outros tratamentos ou penas cruéis, desumanos ou degradantes, Juan E. Méndez (A/HRC/22/53)" \c 2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Cs/>
          <w:sz w:val="20"/>
          <w:szCs w:val="20"/>
        </w:rPr>
        <w:t>.</w:t>
      </w:r>
    </w:p>
  </w:footnote>
  <w:footnote w:id="43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Ximenes Lopes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Sent. 4/7/2006. Serie C No. 149, §107.</w:t>
      </w:r>
    </w:p>
  </w:footnote>
  <w:footnote w:id="44">
    <w:p w:rsidR="00727AD4" w:rsidRPr="00D86445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 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t xml:space="preserve">Caso Baldeón García Vs.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Peru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iCs/>
          <w:sz w:val="20"/>
          <w:szCs w:val="20"/>
          <w:lang w:val="es-MX"/>
        </w:rPr>
        <w:instrText xml:space="preserve">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instrText xml:space="preserve">Caso Baldeón García Vs.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Peru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Baldeón García Vs. Peru"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Sent. 6/4/2006. Serie C No. 147, §117; CrIDH.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García Asto e Ramírez Rojas Vs. </w:t>
      </w:r>
      <w:r w:rsidR="005A548A"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Peru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 xml:space="preserve">Caso García Asto e Ramírez Rojas Vs. </w:instrText>
      </w:r>
      <w:r w:rsidR="005A548A"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Peru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García Asto e Ramírez Rojas Vs. </w:instrText>
      </w:r>
      <w:r w:rsidR="005A548A" w:rsidRPr="007D475E">
        <w:rPr>
          <w:rFonts w:ascii="Times New Roman" w:hAnsi="Times New Roman" w:cs="Times New Roman"/>
          <w:sz w:val="20"/>
          <w:szCs w:val="20"/>
          <w:lang w:val="es-MX"/>
        </w:rPr>
        <w:instrText>Peru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Sent. 25/11/2005. Serie C No. 137, 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§222; 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Fermín Ramírez Vs. Guatemala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\s "CrIDH. Caso Fermín Ramírez Vs. Guatemala"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>Sent.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 20/6/2005. Serie C No 126, §117; 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Caesar</w:t>
      </w:r>
      <w:r w:rsidRPr="0078749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Sent. 11/3/2005. Serie C No. 123, §59; 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Lori Berenson Mejía Vs. Peru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instrText xml:space="preserve">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Lori Berenson Mejía Vs. Peru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Lori Berenson Mejía Vs. Peru"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  <w:lang w:val="es-MX"/>
        </w:rPr>
        <w:t>.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 Sen. 25/11/2004. Serie C No. 119, §100; 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De La Cruz Flores Vs.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Peru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instrText xml:space="preserve">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 xml:space="preserve">Caso De La Cruz Flores Vs.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Peru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De La Cruz Flores Vs. Peru"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t>. Sent. 18/11/2004. Serie C No. 115,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 §125; CrIDH.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Tibi Vs. Equador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Tibi Vs. Equador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Tibi Vs. Equador"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Sent. 7/9/2004. Serie C No. 114, §143; 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de los Hermanos Gómez Paquiyauri Vs.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Peru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CrIDH.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</w:rPr>
        <w:instrText xml:space="preserve">Caso de los Hermanos Gómez Paquiyauri Vs.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Peru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de los Hermanos Gómez Paquiyauri Vs. Peru"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</w:rPr>
        <w:t>. Sent. 8/7/2004. Serie C No. 110, §</w:t>
      </w:r>
      <w:r w:rsidRPr="0078749E">
        <w:rPr>
          <w:rFonts w:ascii="Times New Roman" w:hAnsi="Times New Roman" w:cs="Times New Roman"/>
          <w:sz w:val="20"/>
          <w:szCs w:val="20"/>
        </w:rPr>
        <w:t xml:space="preserve">§111 e 112; 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Maritza Urrutia Vs. Guatemala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Caso Maritza Urrutia Vs. Guatemala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Maritza Urrutia Vs. Guatemala"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</w:rPr>
        <w:t>Sent. 27/11/2003. Serie C No. 103, §§89 e 92; CrIDH.</w:t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Bámaca Velásquez Vs. Guatemala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</w:instrText>
      </w:r>
      <w:r w:rsidRPr="0078749E">
        <w:rPr>
          <w:rFonts w:ascii="Times New Roman" w:hAnsi="Times New Roman" w:cs="Times New Roman"/>
          <w:iCs/>
          <w:sz w:val="20"/>
          <w:szCs w:val="20"/>
        </w:rPr>
        <w:instrText xml:space="preserve">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Caso Bámaca Velásquez Vs. Guatemala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Bámaca Velásquez Vs. Guatemala"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25/11/2000, Serie C No. 70, §154; 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Cantoral Benavides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 Vs.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Peru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\s "CrIDH. Caso Cantoral Benavides Vs. Peru"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Sent. 18/8/2000. Serie C No. 69, §95; CrIDH.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de la Masacre Pueblo Bello Vs.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Colômbia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instrText xml:space="preserve">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 xml:space="preserve">Caso de la Masacre Pueblo Bello Vs.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Colômbia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de la Masacre Pueblo Bello Vs. Colômbia"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. Sent. 15/9/2005. Serie C No. 134,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§119; CrIDH.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"Instituto de Reeducación del Menor" Vs.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n-US"/>
        </w:rPr>
        <w:t>Paraguai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n-US"/>
        </w:rPr>
        <w:instrText xml:space="preserve">Caso 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>\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n-US"/>
        </w:rPr>
        <w:instrText>"Instituto de Reeducación del Menor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>\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n-US"/>
        </w:rPr>
        <w:instrText>" Vs. Paraguai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" \s "CrIDH. Caso \"Instituto de Reeducación del Menor\" Vs. Paraguai"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n-US"/>
        </w:rPr>
        <w:t>. Sent. 2/9/2004. Serie C No. 112</w: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t xml:space="preserve">, §157; TEDH. </w: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t>Al-Adsani Vs. United Kingdom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 TA \l "TEDH. </w:instrTex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instrText>Al-Adsani Vs. United Kingdom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" \s "TEDH. Al-Adsani Vs. United Kingdom"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t>Sent. 21/11/2001, §61.</w:t>
      </w:r>
    </w:p>
  </w:footnote>
  <w:footnote w:id="45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t xml:space="preserve"> TEDH. </w:t>
      </w:r>
      <w:r w:rsidRPr="00D86445">
        <w:rPr>
          <w:rFonts w:ascii="Times New Roman" w:hAnsi="Times New Roman" w:cs="Times New Roman"/>
          <w:b/>
          <w:sz w:val="20"/>
          <w:szCs w:val="20"/>
          <w:lang w:val="en-US"/>
        </w:rPr>
        <w:t xml:space="preserve">Caso Stanev Vs. </w:t>
      </w:r>
      <w:r w:rsidRPr="0078749E">
        <w:rPr>
          <w:rFonts w:ascii="Times New Roman" w:hAnsi="Times New Roman" w:cs="Times New Roman"/>
          <w:b/>
          <w:sz w:val="20"/>
          <w:szCs w:val="20"/>
        </w:rPr>
        <w:t>Bulgária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TEDH.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 xml:space="preserve">Caso Stanev Vs.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Bulgária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"TEDH. Caso Stanev Vs. Bulgária"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Aplicação No. 36.760/06. Sent. 17/1/2012.</w:t>
      </w:r>
    </w:p>
  </w:footnote>
  <w:footnote w:id="46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Relatório do Relator Especial sobre a tortura e outros tratamentos ou penas cruéis, desumanos ou degradantes (A/63/175)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Conselho de Direitos Humanos.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Relatório do Relator Especial sobre a tortura e outros tratamentos ou penas cruéis, desumanos ou degradantes (A/63/175)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Conselho de Direitos Humanos. Relatório do Relator Especial sobre a tortura e outros tratamentos ou penas cruéis, desumanos ou degradantes (A/63/175)"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§51.</w:t>
      </w:r>
    </w:p>
  </w:footnote>
  <w:footnote w:id="47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Relator Especial sobre a tortura e outros tratamentos ou penas cruéis, desumanos ou degradantes, Juan E. Méndez (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A/HRC/22/53)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 xml:space="preserve"> TA \s "ONU. Conselho de Direitos Humanos. Relator Especial sobre a tortura e outros tratamentos ou penas cruéis, desumanos ou degradantes, Juan E. Méndez (A/HRC/22/53)"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</w:footnote>
  <w:footnote w:id="48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OMS. Comissão de Saúde Mental e Prevenção de Abuso de Substâncias. </w:t>
      </w:r>
      <w:r w:rsidRPr="0078749E">
        <w:rPr>
          <w:rFonts w:ascii="Times New Roman" w:hAnsi="Times New Roman" w:cs="Times New Roman"/>
          <w:b/>
          <w:sz w:val="20"/>
          <w:szCs w:val="20"/>
        </w:rPr>
        <w:t>Dez Princípios Básicos das Normas para a Atenção da Saúde Mental (1996)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"OMS. Comissão de Saúde Mental e Prevenção de Abuso de Substâncias. Dez Princípios Básicos das Normas para a Atenção da Saúde Mental (1996)"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princípios 2, 4 e 5.</w:t>
      </w:r>
    </w:p>
  </w:footnote>
  <w:footnote w:id="49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Comitê contra a Tortura, </w:t>
      </w:r>
      <w:r w:rsidRPr="0078749E">
        <w:rPr>
          <w:rFonts w:ascii="Times New Roman" w:hAnsi="Times New Roman" w:cs="Times New Roman"/>
          <w:b/>
          <w:sz w:val="20"/>
          <w:szCs w:val="20"/>
        </w:rPr>
        <w:t>Comentário No. 2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Comitê contra a Tortura,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Comentário No. 2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Comitê contra a Tortura, Comentário No. 2"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, §21;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Ximenes Lopes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4/7/2006. Serie C No. 149, §103.</w:t>
      </w:r>
    </w:p>
  </w:footnote>
  <w:footnote w:id="50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Cantoral Benavides Vs. Peru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Cantoral Benavides Vs. Peru"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</w:rPr>
        <w:t>Sent. 18/8/2000. Serie C No. 69.</w:t>
      </w:r>
    </w:p>
  </w:footnote>
  <w:footnote w:id="5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</w:rPr>
        <w:t xml:space="preserve"> ONU. CRPD, art. 25 (d); ONU. </w:t>
      </w:r>
      <w:r w:rsidRPr="0078749E">
        <w:rPr>
          <w:rFonts w:ascii="Times New Roman" w:hAnsi="Times New Roman" w:cs="Times New Roman"/>
          <w:sz w:val="20"/>
          <w:szCs w:val="20"/>
        </w:rPr>
        <w:t xml:space="preserve">Comitê sobre Direitos das Pessoas Deficientes. </w:t>
      </w:r>
      <w:r w:rsidRPr="0078749E">
        <w:rPr>
          <w:rFonts w:ascii="Times New Roman" w:hAnsi="Times New Roman" w:cs="Times New Roman"/>
          <w:b/>
          <w:sz w:val="20"/>
          <w:szCs w:val="20"/>
        </w:rPr>
        <w:t>Conclusão das observações iniciais sobre o Relatório da China, adotado pelo Comitê na 8ª Sessão (17–28/9/2012)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Comitê sobre Direitos das Pessoas Deficientes.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Conclusão das observações iniciais sobre o Relatório da China, adotado pelo Comitê na 8ª Sessão (17–28/9/2012)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Comitê sobre Direitos das Pessoas Deficientes. Conclusão das observações iniciais sobre o Relatório da China, adotado pelo Comitê na 8ª Sessão (17–28/9/2012)"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, §38; ONU. 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Relatório do Relator Especial sobre a tortura e outros tratamentos ou penas cruéis, desumanos ou degradantes (A/63/175)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"ONU. Conselho de Direitos Humanos. Relatório do Relator Especial sobre a tortura e outros tratamentos ou penas cruéis, desumanos ou degradantes (A/63/175)"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, </w:t>
      </w:r>
      <w:r w:rsidR="0054576C">
        <w:rPr>
          <w:rFonts w:ascii="Times New Roman" w:hAnsi="Times New Roman" w:cs="Times New Roman"/>
          <w:sz w:val="20"/>
          <w:szCs w:val="20"/>
        </w:rPr>
        <w:t>§</w:t>
      </w:r>
      <w:r w:rsidRPr="0078749E">
        <w:rPr>
          <w:rFonts w:ascii="Times New Roman" w:hAnsi="Times New Roman" w:cs="Times New Roman"/>
          <w:sz w:val="20"/>
          <w:szCs w:val="20"/>
        </w:rPr>
        <w:t>§47 e 74.</w:t>
      </w:r>
    </w:p>
  </w:footnote>
  <w:footnote w:id="52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Relator Especial sobre a tortura e outros tratamentos ou penas cruéis, desumanos ou degradantes, Juan E. Méndez (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A/HRC/22/53)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 xml:space="preserve"> TA \s "ONU. Conselho de Direitos Humanos. Relator Especial sobre a tortura e outros tratamentos ou penas cruéis, desumanos ou degradantes, Juan E. Méndez (A/HRC/22/53)"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Cs/>
          <w:sz w:val="20"/>
          <w:szCs w:val="20"/>
        </w:rPr>
        <w:t>.</w:t>
      </w:r>
    </w:p>
  </w:footnote>
  <w:footnote w:id="53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Conselho de Direitos Humanos. 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Relatório do Relator Especial sobre o direito de toda pessoa de desfrutar o mais elevado nível possível de saúde física e mental (A/64/272)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Conselho de Direitos Humanos. </w:instrTex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>Relatório do Relator Especial sobre o direito de toda pessoa de desfrutar o mais elevado nível possível de saúde física e mental (A/64/272)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Conselho de Direitos Humanos. Relatório do Relator Especial sobre o direito de toda pessoa de desfrutar o mais elevado nível possível de saúde física e mental (A/64/272)" \c 2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Cs/>
          <w:sz w:val="20"/>
          <w:szCs w:val="20"/>
        </w:rPr>
        <w:t>, §18.</w:t>
      </w:r>
    </w:p>
  </w:footnote>
  <w:footnote w:id="54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I</w:t>
      </w:r>
      <w:r w:rsidRPr="0078749E">
        <w:rPr>
          <w:rFonts w:ascii="Times New Roman" w:hAnsi="Times New Roman" w:cs="Times New Roman"/>
          <w:bCs/>
          <w:sz w:val="20"/>
          <w:szCs w:val="20"/>
        </w:rPr>
        <w:t>bid., §92.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Conselho de Direitos Humanos. </w:instrTex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>Relatório do Relator Especial sobre o direito de toda pessoa de desfrutar o mais elevado nível possível de saúde física e mental (A/64/272)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Conselho de Direitos Humanos. Relatório do Relator Especial sobre o direito de toda pessoa de desfrutar o mais elevado nível possível de saúde física e mental (A/64/272)" \c 2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</w:footnote>
  <w:footnote w:id="55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Ximenes Lopes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4/7/2006. </w:t>
      </w:r>
      <w:r w:rsidRPr="007D475E">
        <w:rPr>
          <w:rFonts w:ascii="Times New Roman" w:hAnsi="Times New Roman" w:cs="Times New Roman"/>
          <w:sz w:val="20"/>
          <w:szCs w:val="20"/>
        </w:rPr>
        <w:t>Serie C No. 149, §130.</w:t>
      </w:r>
    </w:p>
  </w:footnote>
  <w:footnote w:id="56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PIOVESAN, Flavia. </w:t>
      </w:r>
      <w:r w:rsidRPr="0078749E">
        <w:rPr>
          <w:rFonts w:ascii="Times New Roman" w:hAnsi="Times New Roman" w:cs="Times New Roman"/>
          <w:b/>
          <w:sz w:val="20"/>
          <w:szCs w:val="20"/>
        </w:rPr>
        <w:t>Direitos Reprodutivos como Direitos Humanos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"PIOVESAN, Flavia.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Direitos Reprodutivos como Direitos Humanos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"PIOVESAN, Flavia. Direitos Reprodutivos como Direitos Humanos"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p. 11.</w:t>
      </w:r>
    </w:p>
  </w:footnote>
  <w:footnote w:id="57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</w:t>
      </w:r>
      <w:r w:rsidRPr="00D86445">
        <w:rPr>
          <w:rFonts w:ascii="Times New Roman" w:hAnsi="Times New Roman" w:cs="Times New Roman"/>
          <w:sz w:val="20"/>
          <w:szCs w:val="20"/>
        </w:rPr>
        <w:t xml:space="preserve">ONU. </w:t>
      </w:r>
      <w:r w:rsidRPr="0078749E">
        <w:rPr>
          <w:rFonts w:ascii="Times New Roman" w:hAnsi="Times New Roman" w:cs="Times New Roman"/>
          <w:sz w:val="20"/>
          <w:szCs w:val="20"/>
        </w:rPr>
        <w:t xml:space="preserve">Conselho de Direitos Humanos.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Relator Especial sobre a tortura e outros tratamentos ou penas cruéis, desumanos ou degradantes</w:t>
      </w:r>
      <w:r w:rsidRPr="00D86445">
        <w:rPr>
          <w:rFonts w:ascii="Times New Roman" w:hAnsi="Times New Roman" w:cs="Times New Roman"/>
          <w:b/>
          <w:sz w:val="20"/>
          <w:szCs w:val="20"/>
        </w:rPr>
        <w:t>, Manfred Nowak (</w:t>
      </w:r>
      <w:r w:rsidRPr="0078749E">
        <w:rPr>
          <w:rFonts w:ascii="Times New Roman" w:hAnsi="Times New Roman" w:cs="Times New Roman"/>
          <w:b/>
          <w:sz w:val="20"/>
          <w:szCs w:val="20"/>
        </w:rPr>
        <w:t>A/HRC/7/3</w:t>
      </w:r>
      <w:r w:rsidRPr="0078749E">
        <w:rPr>
          <w:rFonts w:ascii="Times New Roman" w:hAnsi="Times New Roman" w:cs="Times New Roman"/>
          <w:sz w:val="20"/>
          <w:szCs w:val="20"/>
        </w:rPr>
        <w:t>)</w:t>
      </w:r>
      <w:r w:rsidR="002B62D4" w:rsidRPr="0078749E">
        <w:rPr>
          <w:rFonts w:ascii="Times New Roman" w:hAnsi="Times New Roman" w:cs="Times New Roman"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D86445">
        <w:rPr>
          <w:rFonts w:ascii="Times New Roman" w:hAnsi="Times New Roman" w:cs="Times New Roman"/>
          <w:sz w:val="20"/>
          <w:szCs w:val="20"/>
        </w:rPr>
        <w:instrText xml:space="preserve">ONU. 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Conselho de Direitos Humanos. 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>Relator Especial sobre a tortura e outros tratamentos ou penas cruéis, desumanos ou degradantes</w:instrText>
      </w:r>
      <w:r w:rsidRPr="00D86445">
        <w:rPr>
          <w:rFonts w:ascii="Times New Roman" w:hAnsi="Times New Roman" w:cs="Times New Roman"/>
          <w:b/>
          <w:sz w:val="20"/>
          <w:szCs w:val="20"/>
        </w:rPr>
        <w:instrText>, Manfred Nowak (</w:instrText>
      </w:r>
      <w:r w:rsidRPr="007D475E">
        <w:rPr>
          <w:rFonts w:ascii="Times New Roman" w:hAnsi="Times New Roman" w:cs="Times New Roman"/>
          <w:b/>
          <w:sz w:val="20"/>
          <w:szCs w:val="20"/>
        </w:rPr>
        <w:instrText>A/HRC/7/3</w:instrText>
      </w:r>
      <w:r w:rsidRPr="007D475E">
        <w:rPr>
          <w:rFonts w:ascii="Times New Roman" w:hAnsi="Times New Roman" w:cs="Times New Roman"/>
          <w:sz w:val="20"/>
          <w:szCs w:val="20"/>
        </w:rPr>
        <w:instrText xml:space="preserve">)" \s "ONU. Conselho de Direitos Humanos. Relator Especial sobre a tortura e outros tratamentos ou penas cruéis, desumanos ou degradantes, Manfred Nowak (A/HRC/7/3)" \c 2 </w:instrText>
      </w:r>
      <w:r w:rsidR="002B62D4" w:rsidRPr="0078749E">
        <w:rPr>
          <w:rFonts w:ascii="Times New Roman" w:hAnsi="Times New Roman" w:cs="Times New Roman"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</w:rPr>
        <w:t>, §§38, 39 e 69.</w:t>
      </w:r>
    </w:p>
  </w:footnote>
  <w:footnote w:id="58">
    <w:p w:rsidR="00727AD4" w:rsidRPr="0078749E" w:rsidRDefault="00727AD4" w:rsidP="0078749E">
      <w:pPr>
        <w:autoSpaceDE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 Open Society Foundations, </w:t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Against Her Will: Forced and Coerced Sterilization of Women Worldwide </w:t>
      </w:r>
      <w:r w:rsidRPr="0078749E">
        <w:rPr>
          <w:rFonts w:ascii="Times New Roman" w:hAnsi="Times New Roman" w:cs="Times New Roman"/>
          <w:b/>
          <w:i/>
          <w:sz w:val="20"/>
          <w:szCs w:val="20"/>
          <w:lang w:val="en-US"/>
        </w:rPr>
        <w:t>(2011)</w:t>
      </w:r>
      <w:r w:rsidR="002B62D4" w:rsidRPr="0078749E">
        <w:rPr>
          <w:rFonts w:ascii="Times New Roman" w:hAnsi="Times New Roman" w:cs="Times New Roman"/>
          <w:b/>
          <w:i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 TA \l "Society Foundations, </w:instrText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instrText xml:space="preserve">Against Her Will: Forced and Coerced Sterilization of Women Worldwide </w:instrText>
      </w:r>
      <w:r w:rsidRPr="0078749E">
        <w:rPr>
          <w:rFonts w:ascii="Times New Roman" w:hAnsi="Times New Roman" w:cs="Times New Roman"/>
          <w:b/>
          <w:i/>
          <w:sz w:val="20"/>
          <w:szCs w:val="20"/>
          <w:lang w:val="en-US"/>
        </w:rPr>
        <w:instrText>(2011)</w:instrTex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" \s "Society Foundations, Against Her Will: Forced and Coerced Sterilization of Women Worldwide (2011)" \c 2 </w:instrText>
      </w:r>
      <w:r w:rsidR="002B62D4" w:rsidRPr="0078749E">
        <w:rPr>
          <w:rFonts w:ascii="Times New Roman" w:hAnsi="Times New Roman" w:cs="Times New Roman"/>
          <w:b/>
          <w:i/>
          <w:sz w:val="20"/>
          <w:szCs w:val="20"/>
          <w:lang w:val="en-US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>.</w:t>
      </w:r>
    </w:p>
  </w:footnote>
  <w:footnote w:id="59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Caso Artavia Murillo e outros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Costa Rica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Artavia Murillo e outros Vs. Costa Rica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Artavia Murillo e outros Vs. Costa Rica"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Sent. 28/11/2012. Serie C No. 257, §142 </w:t>
      </w:r>
    </w:p>
  </w:footnote>
  <w:footnote w:id="60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dos Massacres de Ituango Vs. Colômbia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Caso dos Massacres de Ituango Vs. Colômbia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dos Massacres de Ituango Vs. Colômbia"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</w:rPr>
        <w:t xml:space="preserve">Sent. 1/6/2006. Serie C No. 148, §194; 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Atala Riffo e Niñas Vs. Chile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Caso Atala Riffo e Niñas Vs. Chile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Atala Riffo e Niñas Vs. Chile"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</w:rPr>
        <w:t>Sent. 24/2/2012. Serie C No. 239, §161.</w:t>
      </w:r>
    </w:p>
  </w:footnote>
  <w:footnote w:id="6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Chaparro Álvarez e Lapo Íñiguez. Vs.</w:t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Equador</w:t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</w:rPr>
        <w:t xml:space="preserve">Sent. 21/11/2007. Serie C No. 170, §52; </w:t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Atala Riffo e Niñas Vs. Chile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 xml:space="preserve"> TA \s "CrIDH. Caso Atala Riffo e Niñas Vs. Chile"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24/2/2012. Serie C No. 239, §136.</w:t>
      </w:r>
    </w:p>
  </w:footnote>
  <w:footnote w:id="62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</w:t>
      </w:r>
      <w:r w:rsidRPr="0078749E">
        <w:rPr>
          <w:rFonts w:ascii="Times New Roman" w:hAnsi="Times New Roman" w:cs="Times New Roman"/>
          <w:iCs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 xml:space="preserve">Caso Rosendo Cantú e outros Vs.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México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instrText xml:space="preserve">CrIDH.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Rosendo Cantú e outros Vs. México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Rosendo Cantú e outros Vs. México"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s-MX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Sent. 31</w:t>
      </w:r>
      <w:r w:rsidR="00471E73">
        <w:rPr>
          <w:rFonts w:ascii="Times New Roman" w:hAnsi="Times New Roman" w:cs="Times New Roman"/>
          <w:sz w:val="20"/>
          <w:szCs w:val="20"/>
          <w:lang w:val="es-MX"/>
        </w:rPr>
        <w:t>/8/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2010. Serie C No. 216, §119; CrIDH.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Atala Riffo e Niñas Vs. Chile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 xml:space="preserve"> TA \s "CrIDH. Caso Atala Riffo e Niñas Vs. Chile"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 xml:space="preserve">Sent. 24/2/2012. Serie C No. 239, §162; TEDH.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t>Caso Dudgeon Vs. Reino Unido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instrText xml:space="preserve">TEDH.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instrText>Caso Dudgeon Vs. Reino Unido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"TEDH. Caso Dudgeon Vs. Reino Unido"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 xml:space="preserve">. No. 7525/76. Sent. 22/10/1981, §41; TEDH. 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t>Caso X y Y Vs. Países Bajos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instrText xml:space="preserve">TEDH.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instrText>Caso X y Y Vs. Países Bajos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"TEDH. Caso X y Y Vs. Países Bajos"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  <w:lang w:val="es-ES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No. 8978/80. Sent. 26/3/1985, §22; TEDH.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Niemietz Vs. Alemania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"TEDH.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Niemietz Vs. Alemania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"TEDH. Caso Niemietz Vs. Alemania"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No. 13710/88. Sent. 16/12/1992, §29; TEDH.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Peck Vs. Reino Unido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"TEDH.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Peck Vs. Reino Unido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"TEDH. Caso Peck Vs. Reino Unido"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No. 44647/98. Sent. 28/1/2003, §57; TEDH.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Pretty Vs. Reino Unido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"TEDH.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Pretty Vs. Reino Unido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"TEDH. Caso Pretty Vs. Reino Unido"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No. 2346/02. Sent. 29/4/2002, §61.</w:t>
      </w:r>
    </w:p>
  </w:footnote>
  <w:footnote w:id="63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 TEDH.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R.R. Vs.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Polônia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"TEDH.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Caso R.R. Vs. Polônia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"TEDH. Caso R.R. Vs. Polônia"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</w:rPr>
        <w:t>.</w:t>
      </w:r>
      <w:r w:rsidRPr="0078749E">
        <w:rPr>
          <w:rFonts w:ascii="Times New Roman" w:hAnsi="Times New Roman" w:cs="Times New Roman"/>
          <w:sz w:val="20"/>
          <w:szCs w:val="20"/>
        </w:rPr>
        <w:t xml:space="preserve"> (No. 27617/04), Sent. 26/5/ 2011, §197.</w:t>
      </w:r>
    </w:p>
  </w:footnote>
  <w:footnote w:id="64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 xml:space="preserve">Caso Rosendo Cantú e outras Vs.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México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>Caso Rosendo Cantú e outras Vs. México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Rosendo Cantú e outras Vs. México"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31/8/2010. Serie C No. 216, §119; CrIDH.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>Caso Atala Riffo e Niñas Vs. Chile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instrText xml:space="preserve"> TA \s "CrIDH. Caso Atala Riffo e Niñas Vs. Chile"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24/2/2012. Serie C No. 239, §162; TEDH.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s-MX"/>
        </w:rPr>
        <w:t xml:space="preserve">Caso Niemietz Vs.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Alemania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 xml:space="preserve"> TA \s "TEDH. Caso Niemietz Vs. Alemania"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, (No. 13710/88), Sent. 16/12/1992, §29; TEDH.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Peck Vs. Reino Unido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 xml:space="preserve"> TA \s "TEDH. Caso Peck Vs. Reino Unido"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</w:rPr>
        <w:t>.</w:t>
      </w:r>
      <w:r w:rsidRPr="0078749E">
        <w:rPr>
          <w:rFonts w:ascii="Times New Roman" w:hAnsi="Times New Roman" w:cs="Times New Roman"/>
          <w:sz w:val="20"/>
          <w:szCs w:val="20"/>
        </w:rPr>
        <w:t xml:space="preserve"> (No. 44647/98), Sent. 28/1/2003, §57.</w:t>
      </w:r>
    </w:p>
  </w:footnote>
  <w:footnote w:id="65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t>Caso Gelman Vs. Uruguai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iCs/>
          <w:sz w:val="20"/>
          <w:szCs w:val="20"/>
        </w:rPr>
        <w:instrText>Caso Gelman Vs. Uruguai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Gelman Vs. Uruguai" \c 1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8749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sz w:val="20"/>
          <w:szCs w:val="20"/>
        </w:rPr>
        <w:t xml:space="preserve">Sent. 24/2/2011. </w:t>
      </w:r>
      <w:r w:rsidRPr="00D86445">
        <w:rPr>
          <w:rFonts w:ascii="Times New Roman" w:hAnsi="Times New Roman" w:cs="Times New Roman"/>
          <w:sz w:val="20"/>
          <w:szCs w:val="20"/>
        </w:rPr>
        <w:t>Serie C No. 221, §97; TEDH</w:t>
      </w:r>
      <w:r w:rsidRPr="00D8644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D86445">
        <w:rPr>
          <w:rFonts w:ascii="Times New Roman" w:eastAsia="Calibri" w:hAnsi="Times New Roman" w:cs="Times New Roman"/>
          <w:b/>
          <w:iCs/>
          <w:sz w:val="20"/>
          <w:szCs w:val="20"/>
          <w:lang w:eastAsia="en-US"/>
        </w:rPr>
        <w:t xml:space="preserve">Caso Evans Vs. </w:t>
      </w:r>
      <w:r w:rsidRPr="007D475E">
        <w:rPr>
          <w:rFonts w:ascii="Times New Roman" w:eastAsia="Calibri" w:hAnsi="Times New Roman" w:cs="Times New Roman"/>
          <w:b/>
          <w:iCs/>
          <w:sz w:val="20"/>
          <w:szCs w:val="20"/>
          <w:lang w:val="en-US" w:eastAsia="en-US"/>
        </w:rPr>
        <w:t>Reino Unido</w:t>
      </w:r>
      <w:r w:rsidR="002B62D4" w:rsidRPr="0078749E">
        <w:rPr>
          <w:rFonts w:ascii="Times New Roman" w:eastAsia="Calibri" w:hAnsi="Times New Roman" w:cs="Times New Roman"/>
          <w:b/>
          <w:iCs/>
          <w:sz w:val="20"/>
          <w:szCs w:val="20"/>
          <w:lang w:eastAsia="en-US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 TA \l "TEDH</w:instrText>
      </w:r>
      <w:r w:rsidRPr="007D475E">
        <w:rPr>
          <w:rFonts w:ascii="Times New Roman" w:eastAsia="Calibri" w:hAnsi="Times New Roman" w:cs="Times New Roman"/>
          <w:sz w:val="20"/>
          <w:szCs w:val="20"/>
          <w:lang w:val="en-US" w:eastAsia="en-US"/>
        </w:rPr>
        <w:instrText xml:space="preserve">. </w:instrText>
      </w:r>
      <w:r w:rsidRPr="007D475E">
        <w:rPr>
          <w:rFonts w:ascii="Times New Roman" w:eastAsia="Calibri" w:hAnsi="Times New Roman" w:cs="Times New Roman"/>
          <w:b/>
          <w:iCs/>
          <w:sz w:val="20"/>
          <w:szCs w:val="20"/>
          <w:lang w:val="en-US" w:eastAsia="en-US"/>
        </w:rPr>
        <w:instrText>Caso Evans Vs. Reino Unido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" \s "TEDH. Caso Evans Vs. Reino Unido" \c 1 </w:instrText>
      </w:r>
      <w:r w:rsidR="002B62D4" w:rsidRPr="0078749E">
        <w:rPr>
          <w:rFonts w:ascii="Times New Roman" w:eastAsia="Calibri" w:hAnsi="Times New Roman" w:cs="Times New Roman"/>
          <w:b/>
          <w:iCs/>
          <w:sz w:val="20"/>
          <w:szCs w:val="20"/>
          <w:lang w:eastAsia="en-US"/>
        </w:rPr>
        <w:fldChar w:fldCharType="end"/>
      </w:r>
      <w:r w:rsidRPr="007D475E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. No. 6339/05. Sent. 10/4/2007, §§71 e 72.</w:t>
      </w:r>
    </w:p>
  </w:footnote>
  <w:footnote w:id="66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 CEDAW. </w:t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Concluding observations of the Committee on the Elimination of Discrimination Against Women: Australia</w:t>
      </w:r>
      <w:r w:rsidR="002B62D4"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 TA \l "CEDAW. </w:instrText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instrText>Concluding observations of the Committee on the Elimination of Discrimination Against Women: Australia</w:instrTex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" \s "CEDAW. Concluding observations of the Committee on the Elimination of Discrimination Against Women: Australia" \c 2 </w:instrText>
      </w:r>
      <w:r w:rsidR="002B62D4"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fldChar w:fldCharType="end"/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.</w:t>
      </w:r>
      <w:r w:rsidRPr="0078749E">
        <w:rPr>
          <w:rFonts w:ascii="Times New Roman" w:hAnsi="Times New Roman" w:cs="Times New Roman"/>
          <w:b/>
          <w:iCs/>
          <w:sz w:val="20"/>
          <w:szCs w:val="20"/>
          <w:lang w:val="en-US"/>
        </w:rPr>
        <w:t xml:space="preserve"> 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>CEDAW/C/AUS/CO/7, 30/7/2010.</w:t>
      </w:r>
    </w:p>
  </w:footnote>
  <w:footnote w:id="67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 CEDAW. </w:t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>General recommendation No. 24: Article 12 of the Convention (women and health)</w:t>
      </w:r>
      <w:r w:rsidR="002B62D4"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 TA \l "CEDAW. </w:instrText>
      </w:r>
      <w:r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instrText>General recommendation No. 24: Article 12 of the Convention (women and health)</w:instrTex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" \s "CEDAW. General recommendation No. 24: Article 12 of the Convention (women and health)" \c 2 </w:instrText>
      </w:r>
      <w:r w:rsidR="002B62D4" w:rsidRPr="0078749E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fldChar w:fldCharType="end"/>
      </w:r>
      <w:r w:rsidRPr="0078749E">
        <w:rPr>
          <w:rFonts w:ascii="Times New Roman" w:hAnsi="Times New Roman" w:cs="Times New Roman"/>
          <w:iCs/>
          <w:sz w:val="20"/>
          <w:szCs w:val="20"/>
          <w:lang w:val="en-US"/>
        </w:rPr>
        <w:t>, (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A/54/38/Rev.1), Chap. </w:t>
      </w:r>
      <w:r w:rsidRPr="007D475E">
        <w:rPr>
          <w:rFonts w:ascii="Times New Roman" w:hAnsi="Times New Roman" w:cs="Times New Roman"/>
          <w:sz w:val="20"/>
          <w:szCs w:val="20"/>
        </w:rPr>
        <w:t>I; §22.</w:t>
      </w:r>
    </w:p>
  </w:footnote>
  <w:footnote w:id="68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ONU. </w:t>
      </w:r>
      <w:r w:rsidRPr="0078749E">
        <w:rPr>
          <w:rFonts w:ascii="Times New Roman" w:hAnsi="Times New Roman" w:cs="Times New Roman"/>
          <w:b/>
          <w:sz w:val="20"/>
          <w:szCs w:val="20"/>
        </w:rPr>
        <w:t>Relatório da Conferência Internacional sobre População e Desenvolvimento (1994)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"ONU.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Relatório da Conferência Internacional sobre População e Desenvolvimento (1994)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"ONU. Relatório da Conferência Internacional sobre População e Desenvolvimento (1994)"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</w:t>
      </w:r>
    </w:p>
  </w:footnote>
  <w:footnote w:id="69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BRASIL. Ministério da Saúde. </w:t>
      </w:r>
      <w:r w:rsidRPr="0078749E">
        <w:rPr>
          <w:rFonts w:ascii="Times New Roman" w:hAnsi="Times New Roman" w:cs="Times New Roman"/>
          <w:b/>
          <w:sz w:val="20"/>
          <w:szCs w:val="20"/>
        </w:rPr>
        <w:t>Direito</w:t>
      </w:r>
      <w:r w:rsidR="00AB7455">
        <w:rPr>
          <w:rFonts w:ascii="Times New Roman" w:hAnsi="Times New Roman" w:cs="Times New Roman"/>
          <w:b/>
          <w:sz w:val="20"/>
          <w:szCs w:val="20"/>
        </w:rPr>
        <w:t>s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 sexuais e reprodutivos na integralidade da atenção à saúde de pessoas com deficiência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"BRASIL. Ministério da Saúde.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Direito sexuais e reprodutivos na integralidade da atenção à saúde de pessoas com deficiência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"BRASIL. Ministério da Saúde. Direito sexuais e reprodutivos na integralidade da atenção à saúde de pessoas com deficiência"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</w:rPr>
        <w:t>Brasília, 2009. p. 9.</w:t>
      </w:r>
    </w:p>
  </w:footnote>
  <w:footnote w:id="70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Declaração dos Direitos das Pessoas com Deficiência, art. 3º.</w:t>
      </w:r>
    </w:p>
  </w:footnote>
  <w:footnote w:id="7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> Declaração</w:t>
      </w:r>
      <w:r w:rsidRPr="0078749E">
        <w:rPr>
          <w:rFonts w:ascii="Times New Roman" w:hAnsi="Times New Roman" w:cs="Times New Roman"/>
          <w:bCs/>
          <w:sz w:val="20"/>
          <w:szCs w:val="20"/>
        </w:rPr>
        <w:t xml:space="preserve"> Internacional das Nações Unidas sobre os Diretos das Pessoas com Deficiência, art. 23.</w:t>
      </w:r>
    </w:p>
  </w:footnote>
  <w:footnote w:id="72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Caso Velásquez Rodríguez Vs. Honduras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Velásquez Rodríguez Vs. Honduras"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Sent. 29/7/1988. Serie C No. 4, §§169 a 182; CrIDH.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Caso Caballero Delgado e Santana Vs. Colômbia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Caballero Delgado e Santana Vs. Colômbia"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Sent. 8/12/1995. Serie C No. 22, §56; CrIDH.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Caso Almonacid Arellano e Outros Vs. Chile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instrText xml:space="preserve">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Almonacid Arellano e Outros Vs. Chile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Almonacid Arellano e Outros Vs. Chile"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26/9/2006. </w:t>
      </w:r>
      <w:r w:rsidRPr="0078749E">
        <w:rPr>
          <w:rFonts w:ascii="Times New Roman" w:hAnsi="Times New Roman" w:cs="Times New Roman"/>
          <w:sz w:val="20"/>
          <w:szCs w:val="20"/>
        </w:rPr>
        <w:t xml:space="preserve">Serie C No. 154, §§123 a 125. </w:t>
      </w:r>
    </w:p>
  </w:footnote>
  <w:footnote w:id="73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Gomes Lund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Gomes Lund e Outros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</w:rPr>
        <w:t>Sent. 24/11/2010. Serie C No. 219, §§49, 176 e 177.</w:t>
      </w:r>
    </w:p>
  </w:footnote>
  <w:footnote w:id="74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Caso de los “Niños de la Calle” Vs. Guatemala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Sent. 19/11/2009. Serie C No. 63, §222; CrIDH.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Caso Bámaca Velásquez Vs. Guatemala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Bámaca Velásquez Vs. Guatemala"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Sent. 25/11/2000. Serie C No. 70, §189; CrIDH.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Caso Juan Humberto Sánchez Vs. Honduras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Juan Humberto Sánchez Vs. Honduras"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 xml:space="preserve">Sent. 7/6/2003. Serie C No. 99, §120; CrIDH. </w:t>
      </w:r>
      <w:r w:rsidRPr="0078749E">
        <w:rPr>
          <w:rFonts w:ascii="Times New Roman" w:hAnsi="Times New Roman" w:cs="Times New Roman"/>
          <w:b/>
          <w:sz w:val="20"/>
          <w:szCs w:val="20"/>
          <w:lang w:val="es-ES"/>
        </w:rPr>
        <w:t xml:space="preserve">Caso Ximenes Lopes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4/7/2006. Serie C No. 149, §174; CrIDH.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Caso Escher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Caso Escher e Outros Vs. Brasil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Escher e Outros Vs.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ES"/>
        </w:rPr>
        <w:t>Sent. 6/7/2009. Serie C No. 200, §197.</w:t>
      </w:r>
    </w:p>
  </w:footnote>
  <w:footnote w:id="75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 TEDH.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>Caso Edward Vs. Reino Unido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</w:instrTex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instrText xml:space="preserve">TEDH. </w:instrTex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instrText>Caso Edward Vs. Reino Unido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"TEDH. Caso Edward Vs. Reino Unido"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s-MX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Sent. 16/12/1992. Serie A No. 247-B, §§34 e 35; TEDH.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 xml:space="preserve">Caso Vidal Vs. </w:t>
      </w:r>
      <w:r w:rsidRPr="0078749E">
        <w:rPr>
          <w:rFonts w:ascii="Times New Roman" w:hAnsi="Times New Roman" w:cs="Times New Roman"/>
          <w:b/>
          <w:sz w:val="20"/>
          <w:szCs w:val="20"/>
        </w:rPr>
        <w:t>Belgrado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"TEDH.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Vidal Vs. Belgrado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"TEDH. Caso Vidal Vs. Belgrado"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22/4/1992. Serie A No. 235-B, §§32 e 33.</w:t>
      </w:r>
    </w:p>
  </w:footnote>
  <w:footnote w:id="76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Genie Lacayo Vs. Nicarágua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Genie Lacayo Vs. Nicarágua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Genie Lacayo Vs. Nicarágua"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29/1/1997. Serie C No. 30, §89;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Povo Indígena Kichwa de Sarayaku Vs. Equador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Povo Indígena Kichwa de Sarayaku Vs. Equador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Povo Indígena Kichwa de Sarayaku Vs. Equador"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27/6/2012. Serie C No. 245, §§37 e 39;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Opinião Consultiva OC-9/87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Opinião Consultiva OC-9/87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Opinião Consultiva OC-9/87"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6/10/1987. Serie A No. 19, §24.</w:t>
      </w:r>
    </w:p>
  </w:footnote>
  <w:footnote w:id="77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Genie Lacayo Vs. Nicarágua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Genie Lacayo Vs. Nicarágua"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29/1/1997. Serie C No. 3, §74;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Opinião Consultiva OC-9/87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Opinião Consultiva OC-9/87"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6/10/1987. Serie A No. 19, §§27 e 28.</w:t>
      </w:r>
    </w:p>
  </w:footnote>
  <w:footnote w:id="78">
    <w:p w:rsidR="00727AD4" w:rsidRPr="007D475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 xml:space="preserve">Caso Bácama Velásquez Vs. </w:t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s-MX"/>
        </w:rPr>
        <w:t>Guatemala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s-MX"/>
        </w:rPr>
        <w:instrText>Caso Bácama Velásquez Vs. Guatemala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Bácama Velásquez Vs. Guatemala" \c 1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>. Sent. 25/11/2000. Serie C No. 70, §211.</w:t>
      </w:r>
    </w:p>
  </w:footnote>
  <w:footnote w:id="79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 CrIDH.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Caso Velásquez Rodríguez Vs. Honduras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Velásquez Rodríguez Vs. Honduras"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29/7/1988. Serie C No. 4, §174-177; CrIDH.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Caso Caballero Delgado e Santana Vs. Colômbia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Caballero Delgado e Santana Vs. Colômbia"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8/12/1995. Serie C No. 22, §58; CrIDH. </w:t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s-MX"/>
        </w:rPr>
        <w:t>Caso Castillo Páez Vs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. Peru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 TA \l "CrIDH. </w:instrText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s-MX"/>
        </w:rPr>
        <w:instrText>Caso Castillo Páez Vs</w:instrTex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>. Peru</w:instrText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instrText xml:space="preserve">" \s "CrIDH. Caso Castillo Páez Vs.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3/11/1997. Serie C No. 34, §90; CrIDH. 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Caso da “Panel Blanca” Paniagua Morales e outros Vs. Guatemala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 xml:space="preserve">Caso da </w:instrText>
      </w:r>
      <w:r w:rsidRPr="0078749E">
        <w:rPr>
          <w:rFonts w:ascii="Times New Roman" w:hAnsi="Times New Roman" w:cs="Times New Roman"/>
          <w:sz w:val="20"/>
          <w:szCs w:val="20"/>
        </w:rPr>
        <w:instrText>\</w:instrTex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>“Panel Blanca</w:instrText>
      </w:r>
      <w:r w:rsidRPr="0078749E">
        <w:rPr>
          <w:rFonts w:ascii="Times New Roman" w:hAnsi="Times New Roman" w:cs="Times New Roman"/>
          <w:sz w:val="20"/>
          <w:szCs w:val="20"/>
        </w:rPr>
        <w:instrText>\</w:instrTex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>” Paniagua Morales e outros Vs. Guatemala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da \"Panel Blanca\" Paniagua Morales e outros Vs. Guatemala" \c 1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8</w:t>
      </w:r>
      <w:r w:rsidR="00997B83">
        <w:rPr>
          <w:rFonts w:ascii="Times New Roman" w:hAnsi="Times New Roman" w:cs="Times New Roman"/>
          <w:sz w:val="20"/>
          <w:szCs w:val="20"/>
        </w:rPr>
        <w:t>/3/</w:t>
      </w:r>
      <w:r w:rsidRPr="0078749E">
        <w:rPr>
          <w:rFonts w:ascii="Times New Roman" w:hAnsi="Times New Roman" w:cs="Times New Roman"/>
          <w:sz w:val="20"/>
          <w:szCs w:val="20"/>
        </w:rPr>
        <w:t>1998. Serie C No. 37, §173.</w:t>
      </w:r>
    </w:p>
  </w:footnote>
  <w:footnote w:id="80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Carpio Nicolle e outros Vs. Guatemala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Carpio Nicolle e outros Vs. Guatemala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Carpio Nicolle e outros Vs. Guatemala"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b/>
          <w:sz w:val="20"/>
          <w:szCs w:val="20"/>
        </w:rPr>
        <w:t>.</w:t>
      </w:r>
      <w:r w:rsidRPr="0078749E">
        <w:rPr>
          <w:rFonts w:ascii="Times New Roman" w:hAnsi="Times New Roman" w:cs="Times New Roman"/>
          <w:sz w:val="20"/>
          <w:szCs w:val="20"/>
        </w:rPr>
        <w:t xml:space="preserve"> Sent. 22/11/2004. Serie C nº 117 § 126.</w:t>
      </w:r>
    </w:p>
  </w:footnote>
  <w:footnote w:id="81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Style w:val="Refdenotaderodap4"/>
          <w:rFonts w:ascii="Times New Roman" w:hAnsi="Times New Roman" w:cs="Times New Roman"/>
          <w:sz w:val="20"/>
          <w:szCs w:val="20"/>
          <w:vertAlign w:val="baseline"/>
        </w:rPr>
        <w:t> 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Povo de Saramaka. Vs. Suriname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Povo de Saramaka. Vs. Suriname"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28/11/2007. Serie C No. 172, §166.</w:t>
      </w:r>
    </w:p>
  </w:footnote>
  <w:footnote w:id="82">
    <w:p w:rsidR="00727AD4" w:rsidRPr="0078749E" w:rsidRDefault="00727AD4" w:rsidP="0078749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Style w:val="Refdenotaderodap4"/>
          <w:rFonts w:ascii="Times New Roman" w:hAnsi="Times New Roman" w:cs="Times New Roman"/>
          <w:sz w:val="20"/>
          <w:szCs w:val="20"/>
          <w:vertAlign w:val="baseline"/>
        </w:rPr>
        <w:t> 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Caso Bácama Velásquez Vs. Guatemala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 xml:space="preserve"> TA \s "CrIDH. Caso Bácama Velásquez Vs. Guatemala"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25/11/2000. Serie C No. 70, §179;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das Crianças Yean e Bosico Vs. República Dominicana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</w:instrText>
      </w:r>
      <w:r>
        <w:rPr>
          <w:rFonts w:ascii="Times New Roman" w:hAnsi="Times New Roman" w:cs="Times New Roman"/>
          <w:sz w:val="20"/>
          <w:szCs w:val="20"/>
        </w:rPr>
        <w:instrText xml:space="preserve">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Caso das Crianças Yean e Bosico Vs. República Dominicana"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8/9/2005. Serie C No. 130, §177;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 xml:space="preserve">Opinião Consultiva </w:t>
      </w:r>
      <w:r w:rsidR="00390E7A">
        <w:rPr>
          <w:rFonts w:ascii="Times New Roman" w:hAnsi="Times New Roman" w:cs="Times New Roman"/>
          <w:b/>
          <w:sz w:val="20"/>
          <w:szCs w:val="20"/>
        </w:rPr>
        <w:t>OC-</w:t>
      </w:r>
      <w:r w:rsidRPr="0078749E">
        <w:rPr>
          <w:rFonts w:ascii="Times New Roman" w:hAnsi="Times New Roman" w:cs="Times New Roman"/>
          <w:b/>
          <w:sz w:val="20"/>
          <w:szCs w:val="20"/>
        </w:rPr>
        <w:t>17/02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Opinião Consultiva nº 17/02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Opinião Consultiva nº 17/02" \c 2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, 28/8/2002. Serie A No. 17, voto do juiz A. A. Cançado Trindade, §7.</w:t>
      </w:r>
    </w:p>
  </w:footnote>
  <w:footnote w:id="83">
    <w:p w:rsidR="00727AD4" w:rsidRPr="0078749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  <w:lang w:val="es-MX"/>
        </w:rPr>
        <w:t xml:space="preserve">Caso Velásquez Rodríguez Vs. </w:t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t>Honduras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sz w:val="20"/>
          <w:szCs w:val="20"/>
          <w:lang w:val="es-MX"/>
        </w:rPr>
        <w:instrText xml:space="preserve"> TA \s "CrIDH. Caso Velásquez Rodríguez Vs. Honduras"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s-MX"/>
        </w:rPr>
        <w:t xml:space="preserve">. Sent. 21/7/1989. Serie C No. 7, §25; CrIDH. </w:t>
      </w:r>
      <w:r w:rsidRPr="00D86445">
        <w:rPr>
          <w:rFonts w:ascii="Times New Roman" w:hAnsi="Times New Roman" w:cs="Times New Roman"/>
          <w:b/>
          <w:bCs/>
          <w:sz w:val="20"/>
          <w:szCs w:val="20"/>
        </w:rPr>
        <w:t xml:space="preserve">Caso Ximenes Lopes Vs. </w:t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n-US"/>
        </w:rPr>
        <w:t>Brasil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Sent. 4/7/2006. Serie C No. 149, §207. </w:t>
      </w:r>
    </w:p>
  </w:footnote>
  <w:footnote w:id="84">
    <w:p w:rsidR="00727AD4" w:rsidRPr="007D475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>ICJ</w:t>
      </w:r>
      <w:r w:rsidRPr="0078749E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t xml:space="preserve">Caso </w:t>
      </w:r>
      <w:r w:rsidRPr="0078749E">
        <w:rPr>
          <w:rFonts w:ascii="Times New Roman" w:hAnsi="Times New Roman" w:cs="Times New Roman"/>
          <w:b/>
          <w:sz w:val="20"/>
          <w:szCs w:val="20"/>
          <w:lang w:val="en-GB"/>
        </w:rPr>
        <w:t>Factory at Chorzów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GB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 TA \l "ICJ</w:instrText>
      </w:r>
      <w:r w:rsidRPr="0078749E">
        <w:rPr>
          <w:rFonts w:ascii="Times New Roman" w:hAnsi="Times New Roman" w:cs="Times New Roman"/>
          <w:sz w:val="20"/>
          <w:szCs w:val="20"/>
          <w:lang w:val="en-GB"/>
        </w:rPr>
        <w:instrText>.</w:instrTex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instrText xml:space="preserve"> </w:instrTex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instrText xml:space="preserve">Caso </w:instrText>
      </w:r>
      <w:r w:rsidRPr="0078749E">
        <w:rPr>
          <w:rFonts w:ascii="Times New Roman" w:hAnsi="Times New Roman" w:cs="Times New Roman"/>
          <w:b/>
          <w:sz w:val="20"/>
          <w:szCs w:val="20"/>
          <w:lang w:val="en-GB"/>
        </w:rPr>
        <w:instrText>Factory at Chorzów</w:instrText>
      </w:r>
      <w:r w:rsidRPr="007D475E">
        <w:rPr>
          <w:rFonts w:ascii="Times New Roman" w:hAnsi="Times New Roman" w:cs="Times New Roman"/>
          <w:sz w:val="20"/>
          <w:szCs w:val="20"/>
          <w:lang w:val="en-US"/>
        </w:rPr>
        <w:instrText xml:space="preserve">" \s "ICJ. Caso Factory at Chorzów"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GB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Sent. 26/7/1927. Serie A No. 9, §21; ICJ. </w: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t xml:space="preserve">Caso </w:t>
      </w:r>
      <w:r w:rsidRPr="0078749E">
        <w:rPr>
          <w:rFonts w:ascii="Times New Roman" w:hAnsi="Times New Roman" w:cs="Times New Roman"/>
          <w:b/>
          <w:sz w:val="20"/>
          <w:szCs w:val="20"/>
          <w:lang w:val="en-GB"/>
        </w:rPr>
        <w:t>Factory at Chorzów</w:t>
      </w:r>
      <w:r w:rsidRPr="0078749E">
        <w:rPr>
          <w:rFonts w:ascii="Times New Roman" w:hAnsi="Times New Roman" w:cs="Times New Roman"/>
          <w:sz w:val="20"/>
          <w:szCs w:val="20"/>
          <w:lang w:val="en-GB"/>
        </w:rPr>
        <w:t xml:space="preserve">. Sent. 13/9/1928. Serie A No. 13; ICJ. </w:t>
      </w:r>
      <w:r w:rsidRPr="0078749E">
        <w:rPr>
          <w:rFonts w:ascii="Times New Roman" w:hAnsi="Times New Roman" w:cs="Times New Roman"/>
          <w:b/>
          <w:sz w:val="20"/>
          <w:szCs w:val="20"/>
          <w:lang w:val="en-US"/>
        </w:rPr>
        <w:t>Caso Factory at Chorzów</w:t>
      </w:r>
      <w:r w:rsidRPr="0078749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n-GB"/>
        </w:rPr>
        <w:t>Series A No. 17, p. 29.</w:t>
      </w:r>
    </w:p>
  </w:footnote>
  <w:footnote w:id="85">
    <w:p w:rsidR="00727AD4" w:rsidRPr="007D475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  <w:lang w:val="en-GB"/>
        </w:rPr>
        <w:t> CrIDH</w:t>
      </w:r>
      <w:r w:rsidRPr="007D475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</w:t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n-GB"/>
        </w:rPr>
        <w:t>Caso Baldeón García Vs. Peru</w: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begin"/>
      </w:r>
      <w:r w:rsidRPr="007D475E">
        <w:rPr>
          <w:rFonts w:ascii="Times New Roman" w:hAnsi="Times New Roman" w:cs="Times New Roman"/>
          <w:b/>
          <w:iCs/>
          <w:sz w:val="20"/>
          <w:szCs w:val="20"/>
          <w:lang w:val="en-GB"/>
        </w:rPr>
        <w:instrText xml:space="preserve"> TA \s "CrIDH. Caso Baldeón García Vs. Peru" </w:instrText>
      </w:r>
      <w:r w:rsidR="002B62D4" w:rsidRPr="0078749E">
        <w:rPr>
          <w:rFonts w:ascii="Times New Roman" w:hAnsi="Times New Roman" w:cs="Times New Roman"/>
          <w:b/>
          <w:iCs/>
          <w:sz w:val="20"/>
          <w:szCs w:val="20"/>
        </w:rPr>
        <w:fldChar w:fldCharType="end"/>
      </w:r>
      <w:r w:rsidRPr="007D475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. </w:t>
      </w:r>
      <w:r w:rsidRPr="007D475E">
        <w:rPr>
          <w:rFonts w:ascii="Times New Roman" w:hAnsi="Times New Roman" w:cs="Times New Roman"/>
          <w:sz w:val="20"/>
          <w:szCs w:val="20"/>
          <w:lang w:val="en-GB"/>
        </w:rPr>
        <w:t>Sent. 6/4/2006. Serie C No. 147, §174.</w:t>
      </w:r>
    </w:p>
  </w:footnote>
  <w:footnote w:id="86">
    <w:p w:rsidR="00727AD4" w:rsidRPr="0078749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D475E">
        <w:rPr>
          <w:rFonts w:ascii="Times New Roman" w:hAnsi="Times New Roman" w:cs="Times New Roman"/>
          <w:sz w:val="20"/>
          <w:szCs w:val="20"/>
          <w:lang w:val="en-GB"/>
        </w:rPr>
        <w:t xml:space="preserve"> CrIDH. </w:t>
      </w:r>
      <w:r w:rsidRPr="007D475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Caso Ximenes Lopes Vs. 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Brasil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4/7/2006. Série C No. 149, §236;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Gomes Lund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Gomes Lund e Outros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24/11/2010. Serie C No. 219, §310.</w:t>
      </w:r>
    </w:p>
  </w:footnote>
  <w:footnote w:id="87">
    <w:p w:rsidR="00727AD4" w:rsidRPr="0078749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749E">
        <w:rPr>
          <w:rFonts w:ascii="Times New Roman" w:hAnsi="Times New Roman" w:cs="Times New Roman"/>
          <w:sz w:val="20"/>
          <w:szCs w:val="20"/>
        </w:rPr>
        <w:t xml:space="preserve">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Bámaca Velásquez Vs. Guatemala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Bámaca Velásquez Vs. Guatemala"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22/2/2002. Série C No. 91, §43; CrIDH. </w:t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t>Caso Ximenes Lopes Vs. Brasil</w: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bCs/>
          <w:sz w:val="20"/>
          <w:szCs w:val="20"/>
        </w:rPr>
        <w:instrText xml:space="preserve"> TA \s "CrIDH. Caso Ximenes Lopes Vs. Brasil" </w:instrText>
      </w:r>
      <w:r w:rsidR="002B62D4" w:rsidRPr="0078749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4/7/2006. Série C No. 149, §220.</w:t>
      </w:r>
    </w:p>
  </w:footnote>
  <w:footnote w:id="88">
    <w:p w:rsidR="00727AD4" w:rsidRPr="0078749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Gomes Lund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Gomes Lund e Outros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24/11/2010. Serie C No. 219, §§236, 267 e 268.</w:t>
      </w:r>
    </w:p>
  </w:footnote>
  <w:footnote w:id="89">
    <w:p w:rsidR="00727AD4" w:rsidRPr="0078749E" w:rsidRDefault="00727AD4" w:rsidP="0078749E">
      <w:pPr>
        <w:pStyle w:val="FootnoteText"/>
        <w:ind w:left="0" w:firstLine="0"/>
        <w:jc w:val="both"/>
        <w:rPr>
          <w:b/>
        </w:rPr>
      </w:pPr>
      <w:r w:rsidRPr="0078749E">
        <w:rPr>
          <w:rStyle w:val="FootnoteReference"/>
        </w:rPr>
        <w:footnoteRef/>
      </w:r>
      <w:r w:rsidRPr="0078749E">
        <w:t xml:space="preserve"> CmIDH. </w:t>
      </w:r>
      <w:r w:rsidRPr="0078749E">
        <w:rPr>
          <w:b/>
          <w:lang w:val="pt-BR"/>
        </w:rPr>
        <w:t>Princípios e Boas Práticas para a Proteção das Pessoas Privadas de Liberdade nas Américas.</w:t>
      </w:r>
    </w:p>
  </w:footnote>
  <w:footnote w:id="90">
    <w:p w:rsidR="00727AD4" w:rsidRPr="00D86445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Gomes Lund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Gomes Lund e Outros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24/11/2010. Serie C No. 219, §§173, 219, 273, 277 e 283;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Ximenes Lopes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Ximenes Lopes Vs. Brasil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Ximenes Lopes Vs. Brasil"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t>Sent</w:t>
      </w:r>
      <w:r w:rsidR="006B6A6D" w:rsidRPr="00D86445">
        <w:rPr>
          <w:rFonts w:ascii="Times New Roman" w:hAnsi="Times New Roman" w:cs="Times New Roman"/>
          <w:sz w:val="20"/>
          <w:szCs w:val="20"/>
          <w:lang w:val="en-US"/>
        </w:rPr>
        <w:t>. 4/7/2006. Serie C No. 149, §§240 a 251.</w:t>
      </w:r>
    </w:p>
  </w:footnote>
  <w:footnote w:id="91">
    <w:p w:rsidR="00727AD4" w:rsidRPr="0078749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t xml:space="preserve"> TEDH. </w:t>
      </w:r>
      <w:r w:rsidRPr="00D86445">
        <w:rPr>
          <w:rFonts w:ascii="Times New Roman" w:hAnsi="Times New Roman" w:cs="Times New Roman"/>
          <w:b/>
          <w:sz w:val="20"/>
          <w:szCs w:val="20"/>
          <w:lang w:val="en-US"/>
        </w:rPr>
        <w:t>Caso Brincat v. Italy</w: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/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instrText xml:space="preserve"> TA \l "TEDH. </w:instrText>
      </w:r>
      <w:r w:rsidRPr="00D86445">
        <w:rPr>
          <w:rFonts w:ascii="Times New Roman" w:hAnsi="Times New Roman" w:cs="Times New Roman"/>
          <w:b/>
          <w:sz w:val="20"/>
          <w:szCs w:val="20"/>
          <w:lang w:val="en-US"/>
        </w:rPr>
        <w:instrText>Caso Brincat v. Italy</w:instrText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instrText xml:space="preserve">" \s "TEDH. Caso Brincat v. Italy"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r w:rsidRPr="00D86445">
        <w:rPr>
          <w:rFonts w:ascii="Times New Roman" w:hAnsi="Times New Roman" w:cs="Times New Roman"/>
          <w:sz w:val="20"/>
          <w:szCs w:val="20"/>
          <w:lang w:val="en-US"/>
        </w:rPr>
        <w:t xml:space="preserve">. Sent. 26/11/1992. </w:t>
      </w:r>
      <w:r w:rsidRPr="0078749E">
        <w:rPr>
          <w:rFonts w:ascii="Times New Roman" w:hAnsi="Times New Roman" w:cs="Times New Roman"/>
          <w:sz w:val="20"/>
          <w:szCs w:val="20"/>
        </w:rPr>
        <w:t>Series A No. 249-A</w:t>
      </w:r>
      <w:r w:rsidRPr="0078749E">
        <w:rPr>
          <w:rFonts w:ascii="Times New Roman" w:hAnsi="Times New Roman" w:cs="Times New Roman"/>
          <w:b/>
          <w:sz w:val="20"/>
          <w:szCs w:val="20"/>
        </w:rPr>
        <w:t>;</w:t>
      </w:r>
      <w:r w:rsidRPr="0078749E">
        <w:rPr>
          <w:rFonts w:ascii="Times New Roman" w:hAnsi="Times New Roman" w:cs="Times New Roman"/>
          <w:sz w:val="20"/>
          <w:szCs w:val="20"/>
        </w:rPr>
        <w:t xml:space="preserve">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Garrido e Baigorria Vs. Argentina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Garrido e Baigorria Vs. Argentina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Garrido e Baigorria Vs. Argentina"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27 ago. 1998. Serie C No. 39, §82;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Osorio Rivera e Familiares Vs. Peru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Osorio Rivera e Familiares Vs. Peru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Osorio Rivera e Familiares Vs. Peru"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>. Sent. 26/11/2013. Serie C No. 274, §§293, 296.</w:t>
      </w:r>
    </w:p>
  </w:footnote>
  <w:footnote w:id="92">
    <w:p w:rsidR="00727AD4" w:rsidRPr="0078749E" w:rsidRDefault="00727AD4" w:rsidP="0078749E">
      <w:pPr>
        <w:pStyle w:val="WW-Notaderodap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49E">
        <w:rPr>
          <w:rStyle w:val="Caracteresdenotaderodap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78749E">
        <w:rPr>
          <w:rFonts w:ascii="Times New Roman" w:hAnsi="Times New Roman" w:cs="Times New Roman"/>
          <w:sz w:val="20"/>
          <w:szCs w:val="20"/>
        </w:rPr>
        <w:t xml:space="preserve"> 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Gomes Lund e Outros Vs. Brasil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b/>
          <w:sz w:val="20"/>
          <w:szCs w:val="20"/>
        </w:rPr>
        <w:instrText xml:space="preserve"> TA \s "CrIDH. Caso Gomes Lund e Outros Vs. Brasil"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24/11/2010. Serie C No. 219, §§319 a 324;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Luna López Vs. Honduras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Luna López Vs. Honduras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Luna López Vs. Honduras"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Sent. 10/10/2013. Serie C No. 269, §§261 a 264; CrIDH. </w:t>
      </w:r>
      <w:r w:rsidRPr="0078749E">
        <w:rPr>
          <w:rFonts w:ascii="Times New Roman" w:hAnsi="Times New Roman" w:cs="Times New Roman"/>
          <w:b/>
          <w:sz w:val="20"/>
          <w:szCs w:val="20"/>
        </w:rPr>
        <w:t>Caso Gutiérrez e Família Vs. Argentina</w: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 TA \l "CrIDH. </w:instrText>
      </w:r>
      <w:r w:rsidRPr="0078749E">
        <w:rPr>
          <w:rFonts w:ascii="Times New Roman" w:hAnsi="Times New Roman" w:cs="Times New Roman"/>
          <w:b/>
          <w:sz w:val="20"/>
          <w:szCs w:val="20"/>
        </w:rPr>
        <w:instrText>Caso Gutiérrez e Família Vs. Argentina</w:instrText>
      </w:r>
      <w:r w:rsidRPr="0078749E">
        <w:rPr>
          <w:rFonts w:ascii="Times New Roman" w:hAnsi="Times New Roman" w:cs="Times New Roman"/>
          <w:sz w:val="20"/>
          <w:szCs w:val="20"/>
        </w:rPr>
        <w:instrText xml:space="preserve">" \s "CrIDH. Caso Gutiérrez e Família Vs. Argentina" \c 1 </w:instrText>
      </w:r>
      <w:r w:rsidR="002B62D4" w:rsidRPr="0078749E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78749E">
        <w:rPr>
          <w:rFonts w:ascii="Times New Roman" w:hAnsi="Times New Roman" w:cs="Times New Roman"/>
          <w:sz w:val="20"/>
          <w:szCs w:val="20"/>
        </w:rPr>
        <w:t xml:space="preserve">. </w:t>
      </w:r>
      <w:r w:rsidRPr="0078749E">
        <w:rPr>
          <w:rFonts w:ascii="Times New Roman" w:hAnsi="Times New Roman" w:cs="Times New Roman"/>
          <w:sz w:val="20"/>
          <w:szCs w:val="20"/>
          <w:lang w:val="es-MX"/>
        </w:rPr>
        <w:t>Sent. 25/11/2013. Serie C No. 271, §§199 a 204.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>
    <w:pPr>
      <w:pStyle w:val="Header"/>
      <w:jc w:val="right"/>
    </w:pPr>
    <w:r>
      <w:rPr>
        <w:rFonts w:ascii="Times New Roman" w:hAnsi="Times New Roman" w:cs="Times New Roman"/>
      </w:rPr>
      <w:t>176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>
    <w:pPr>
      <w:pStyle w:val="Header"/>
      <w:jc w:val="right"/>
    </w:pPr>
    <w:r>
      <w:rPr>
        <w:rFonts w:ascii="Times New Roman" w:hAnsi="Times New Roman" w:cs="Times New Roman"/>
      </w:rPr>
      <w:t>176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>
    <w:pPr>
      <w:pStyle w:val="Header"/>
      <w:jc w:val="right"/>
    </w:pPr>
    <w:r>
      <w:rPr>
        <w:rFonts w:ascii="Times New Roman" w:hAnsi="Times New Roman" w:cs="Times New Roman"/>
      </w:rPr>
      <w:t>176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4" w:rsidRDefault="00727A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0FEEEC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bCs/>
        <w:i w:val="0"/>
        <w:color w:val="auto"/>
        <w:position w:val="0"/>
        <w:sz w:val="20"/>
        <w:szCs w:val="20"/>
        <w:vertAlign w:val="baseline"/>
      </w:rPr>
    </w:lvl>
  </w:abstractNum>
  <w:abstractNum w:abstractNumId="2" w15:restartNumberingAfterBreak="0">
    <w:nsid w:val="1E9167C2"/>
    <w:multiLevelType w:val="hybridMultilevel"/>
    <w:tmpl w:val="508EAE2E"/>
    <w:name w:val="WW8Num2"/>
    <w:lvl w:ilvl="0" w:tplc="B1521BB4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auto"/>
        <w:position w:val="0"/>
        <w:sz w:val="24"/>
        <w:szCs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00C93"/>
    <w:multiLevelType w:val="multilevel"/>
    <w:tmpl w:val="48AA0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A64EC0"/>
    <w:multiLevelType w:val="multilevel"/>
    <w:tmpl w:val="E4621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E7377B"/>
    <w:multiLevelType w:val="multilevel"/>
    <w:tmpl w:val="4EB83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203F51"/>
    <w:multiLevelType w:val="multilevel"/>
    <w:tmpl w:val="AB14B3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5661"/>
    <w:rsid w:val="00007153"/>
    <w:rsid w:val="000328DC"/>
    <w:rsid w:val="000479E3"/>
    <w:rsid w:val="00057826"/>
    <w:rsid w:val="00067AF3"/>
    <w:rsid w:val="00110C4D"/>
    <w:rsid w:val="0012182C"/>
    <w:rsid w:val="001232DE"/>
    <w:rsid w:val="001D0D3F"/>
    <w:rsid w:val="001E3B82"/>
    <w:rsid w:val="001F6E49"/>
    <w:rsid w:val="00203084"/>
    <w:rsid w:val="00242D80"/>
    <w:rsid w:val="00246F10"/>
    <w:rsid w:val="002732F2"/>
    <w:rsid w:val="002750F6"/>
    <w:rsid w:val="00283F26"/>
    <w:rsid w:val="00292643"/>
    <w:rsid w:val="002B0649"/>
    <w:rsid w:val="002B62D4"/>
    <w:rsid w:val="002C5017"/>
    <w:rsid w:val="002C7ACF"/>
    <w:rsid w:val="002D484F"/>
    <w:rsid w:val="002E01A0"/>
    <w:rsid w:val="002F439D"/>
    <w:rsid w:val="00312B02"/>
    <w:rsid w:val="003256EE"/>
    <w:rsid w:val="00325A3D"/>
    <w:rsid w:val="00327016"/>
    <w:rsid w:val="0036417D"/>
    <w:rsid w:val="0038622F"/>
    <w:rsid w:val="00390E7A"/>
    <w:rsid w:val="003B2DD3"/>
    <w:rsid w:val="003C2BFA"/>
    <w:rsid w:val="003C54B2"/>
    <w:rsid w:val="003E68AD"/>
    <w:rsid w:val="003E78E7"/>
    <w:rsid w:val="003F47E7"/>
    <w:rsid w:val="003F7516"/>
    <w:rsid w:val="0040410A"/>
    <w:rsid w:val="004228D7"/>
    <w:rsid w:val="004315D2"/>
    <w:rsid w:val="00434CF8"/>
    <w:rsid w:val="00445AD0"/>
    <w:rsid w:val="004509A2"/>
    <w:rsid w:val="0045771B"/>
    <w:rsid w:val="00471E73"/>
    <w:rsid w:val="00490D8E"/>
    <w:rsid w:val="004A4C8E"/>
    <w:rsid w:val="004C4BE6"/>
    <w:rsid w:val="004C4C6D"/>
    <w:rsid w:val="004D5157"/>
    <w:rsid w:val="004F37EB"/>
    <w:rsid w:val="00511B3C"/>
    <w:rsid w:val="0052386B"/>
    <w:rsid w:val="005265A4"/>
    <w:rsid w:val="00536923"/>
    <w:rsid w:val="0054576C"/>
    <w:rsid w:val="00552B58"/>
    <w:rsid w:val="005563CF"/>
    <w:rsid w:val="00572424"/>
    <w:rsid w:val="005A548A"/>
    <w:rsid w:val="005F2558"/>
    <w:rsid w:val="00603741"/>
    <w:rsid w:val="00612F6B"/>
    <w:rsid w:val="0064568D"/>
    <w:rsid w:val="00677B8B"/>
    <w:rsid w:val="006A4E71"/>
    <w:rsid w:val="006A6EB3"/>
    <w:rsid w:val="006B6A6D"/>
    <w:rsid w:val="006C2EA7"/>
    <w:rsid w:val="007014A8"/>
    <w:rsid w:val="00727AD4"/>
    <w:rsid w:val="00744F6B"/>
    <w:rsid w:val="00757C7C"/>
    <w:rsid w:val="0078749E"/>
    <w:rsid w:val="00792F04"/>
    <w:rsid w:val="007979DD"/>
    <w:rsid w:val="007A7AC1"/>
    <w:rsid w:val="007B3836"/>
    <w:rsid w:val="007D119C"/>
    <w:rsid w:val="007D475E"/>
    <w:rsid w:val="007D4F77"/>
    <w:rsid w:val="007F25DE"/>
    <w:rsid w:val="007F6DF8"/>
    <w:rsid w:val="007F7984"/>
    <w:rsid w:val="008079E1"/>
    <w:rsid w:val="008218F6"/>
    <w:rsid w:val="00874F22"/>
    <w:rsid w:val="008767A5"/>
    <w:rsid w:val="008866DD"/>
    <w:rsid w:val="00892E92"/>
    <w:rsid w:val="008F62BF"/>
    <w:rsid w:val="008F7916"/>
    <w:rsid w:val="00900633"/>
    <w:rsid w:val="00920BDD"/>
    <w:rsid w:val="009642FA"/>
    <w:rsid w:val="009771A3"/>
    <w:rsid w:val="00981F0F"/>
    <w:rsid w:val="00987000"/>
    <w:rsid w:val="009911EE"/>
    <w:rsid w:val="00992FA9"/>
    <w:rsid w:val="00997B83"/>
    <w:rsid w:val="009E7540"/>
    <w:rsid w:val="009F4A84"/>
    <w:rsid w:val="00A12828"/>
    <w:rsid w:val="00A32670"/>
    <w:rsid w:val="00A33E8F"/>
    <w:rsid w:val="00A36042"/>
    <w:rsid w:val="00A5226C"/>
    <w:rsid w:val="00A650A2"/>
    <w:rsid w:val="00A74B24"/>
    <w:rsid w:val="00A81207"/>
    <w:rsid w:val="00A81E78"/>
    <w:rsid w:val="00A94333"/>
    <w:rsid w:val="00AB7455"/>
    <w:rsid w:val="00AD7881"/>
    <w:rsid w:val="00AE0763"/>
    <w:rsid w:val="00AE7BF6"/>
    <w:rsid w:val="00B27B03"/>
    <w:rsid w:val="00B4072C"/>
    <w:rsid w:val="00B46AFC"/>
    <w:rsid w:val="00B60494"/>
    <w:rsid w:val="00B6747B"/>
    <w:rsid w:val="00B93519"/>
    <w:rsid w:val="00BB6555"/>
    <w:rsid w:val="00BE146C"/>
    <w:rsid w:val="00BF0FFF"/>
    <w:rsid w:val="00BF1F10"/>
    <w:rsid w:val="00BF7078"/>
    <w:rsid w:val="00C145FB"/>
    <w:rsid w:val="00C45122"/>
    <w:rsid w:val="00C8054C"/>
    <w:rsid w:val="00CE215D"/>
    <w:rsid w:val="00CF03E7"/>
    <w:rsid w:val="00D10449"/>
    <w:rsid w:val="00D310E8"/>
    <w:rsid w:val="00D34F41"/>
    <w:rsid w:val="00D5077D"/>
    <w:rsid w:val="00D60E61"/>
    <w:rsid w:val="00D64569"/>
    <w:rsid w:val="00D6693C"/>
    <w:rsid w:val="00D86445"/>
    <w:rsid w:val="00DC277C"/>
    <w:rsid w:val="00E07E76"/>
    <w:rsid w:val="00E250FC"/>
    <w:rsid w:val="00E3758A"/>
    <w:rsid w:val="00E65890"/>
    <w:rsid w:val="00E94261"/>
    <w:rsid w:val="00EB05A5"/>
    <w:rsid w:val="00EB3A73"/>
    <w:rsid w:val="00EB5244"/>
    <w:rsid w:val="00ED047C"/>
    <w:rsid w:val="00ED59FE"/>
    <w:rsid w:val="00F0181A"/>
    <w:rsid w:val="00F4164D"/>
    <w:rsid w:val="00F55957"/>
    <w:rsid w:val="00F60C28"/>
    <w:rsid w:val="00F63DDF"/>
    <w:rsid w:val="00F67DED"/>
    <w:rsid w:val="00F92416"/>
    <w:rsid w:val="00FA1D37"/>
    <w:rsid w:val="00FD21BF"/>
    <w:rsid w:val="00FD71C7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9F8CD3-1199-4502-9688-EEE49D5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 w:qFormat="1"/>
    <w:lsdException w:name="macro" w:semiHidden="1" w:unhideWhenUsed="1"/>
    <w:lsdException w:name="toa heading" w:semiHidden="1" w:uiPriority="99" w:unhideWhenUsed="1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7030A0"/>
      <w:position w:val="0"/>
      <w:sz w:val="20"/>
      <w:szCs w:val="20"/>
      <w:vertAlign w:val="baseline"/>
    </w:rPr>
  </w:style>
  <w:style w:type="character" w:customStyle="1" w:styleId="Fontepargpadro3">
    <w:name w:val="Fonte parág. padrã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/>
      <w:color w:val="auto"/>
      <w:position w:val="0"/>
      <w:sz w:val="24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position w:val="0"/>
      <w:sz w:val="24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auto"/>
      <w:position w:val="0"/>
      <w:sz w:val="24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Smbolosdenumerao">
    <w:name w:val="Símbolos de numeração"/>
  </w:style>
  <w:style w:type="character" w:customStyle="1" w:styleId="Caracteresdenotadefim">
    <w:name w:val="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MapadoDocumentoChar">
    <w:name w:val="Mapa do Documento Char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Refdenotaderodap4">
    <w:name w:val="Ref. de nota de rodapé4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Fontepargpadro4">
    <w:name w:val="Fonte parág. padrão4"/>
  </w:style>
  <w:style w:type="character" w:customStyle="1" w:styleId="Refdenotaderodap2">
    <w:name w:val="Ref. de nota de rodapé2"/>
    <w:rPr>
      <w:vertAlign w:val="superscript"/>
    </w:rPr>
  </w:style>
  <w:style w:type="character" w:customStyle="1" w:styleId="apple-converted-space">
    <w:name w:val="apple-converted-space"/>
    <w:basedOn w:val="Fontepargpadro4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Ttulo1Char">
    <w:name w:val="Título 1 Char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CabealhoChar">
    <w:name w:val="Cabeçalho Char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RodapChar">
    <w:name w:val="Rodapé Char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Refdenotaderodap5">
    <w:name w:val="Ref. de nota de rodapé5"/>
    <w:rPr>
      <w:vertAlign w:val="superscript"/>
    </w:rPr>
  </w:style>
  <w:style w:type="character" w:customStyle="1" w:styleId="TextodenotaderodapChar">
    <w:name w:val="Texto de nota de rodapé Char"/>
    <w:rPr>
      <w:rFonts w:eastAsia="DejaVu Sans"/>
      <w:kern w:val="1"/>
      <w:lang w:eastAsia="zh-CN" w:bidi="hi-IN"/>
    </w:rPr>
  </w:style>
  <w:style w:type="character" w:customStyle="1" w:styleId="Refdenotaderodap20">
    <w:name w:val="Ref. de nota de rodapé2"/>
    <w:rPr>
      <w:vertAlign w:val="superscript"/>
    </w:rPr>
  </w:style>
  <w:style w:type="character" w:customStyle="1" w:styleId="Corpodetexto3Char">
    <w:name w:val="Corpo de texto 3 Char"/>
    <w:rPr>
      <w:rFonts w:ascii="Liberation Serif" w:eastAsia="DejaVu Sans" w:hAnsi="Liberation Serif" w:cs="Mangal"/>
      <w:kern w:val="1"/>
      <w:sz w:val="16"/>
      <w:szCs w:val="14"/>
      <w:lang w:eastAsia="zh-CN" w:bidi="hi-IN"/>
    </w:rPr>
  </w:style>
  <w:style w:type="character" w:customStyle="1" w:styleId="Recuodecorpodetexto3Char">
    <w:name w:val="Recuo de corpo de texto 3 Char"/>
    <w:rPr>
      <w:rFonts w:ascii="Liberation Serif" w:eastAsia="DejaVu Sans" w:hAnsi="Liberation Serif" w:cs="Mangal"/>
      <w:kern w:val="1"/>
      <w:sz w:val="16"/>
      <w:szCs w:val="14"/>
      <w:lang w:eastAsia="zh-CN" w:bidi="hi-IN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TextodebaloChar">
    <w:name w:val="Texto de balão Char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Refdenotadefim3">
    <w:name w:val="Ref. de nota de fim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Ttulo4">
    <w:name w:val="Título4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2">
    <w:name w:val="Título2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FootnoteText">
    <w:name w:val="footnote text"/>
    <w:basedOn w:val="Normal"/>
    <w:next w:val="FimdaLista1"/>
    <w:pPr>
      <w:suppressLineNumbers/>
      <w:ind w:left="339" w:hanging="339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Textodenotaderodap1">
    <w:name w:val="Texto de nota de rodapé1"/>
    <w:basedOn w:val="Normal"/>
    <w:rPr>
      <w:sz w:val="20"/>
    </w:rPr>
  </w:style>
  <w:style w:type="paragraph" w:customStyle="1" w:styleId="FimdaLista1">
    <w:name w:val="Fim da Lista 1"/>
    <w:basedOn w:val="List"/>
    <w:next w:val="Commarcadores1"/>
    <w:pPr>
      <w:spacing w:after="240"/>
      <w:ind w:left="360" w:hanging="360"/>
    </w:pPr>
  </w:style>
  <w:style w:type="paragraph" w:styleId="ListBullet">
    <w:name w:val="List Bullet"/>
    <w:basedOn w:val="List"/>
    <w:pPr>
      <w:ind w:left="360" w:hanging="360"/>
    </w:pPr>
  </w:style>
  <w:style w:type="paragraph" w:customStyle="1" w:styleId="Commarcadores3">
    <w:name w:val="Com marcadores3"/>
    <w:basedOn w:val="List"/>
    <w:pPr>
      <w:ind w:left="360" w:hanging="360"/>
    </w:pPr>
  </w:style>
  <w:style w:type="paragraph" w:customStyle="1" w:styleId="Commarcadores2">
    <w:name w:val="Com marcadores2"/>
    <w:basedOn w:val="List"/>
    <w:pPr>
      <w:ind w:left="360" w:hanging="360"/>
    </w:pPr>
  </w:style>
  <w:style w:type="paragraph" w:customStyle="1" w:styleId="Commarcadores1">
    <w:name w:val="Com marcadores1"/>
    <w:basedOn w:val="List"/>
    <w:pPr>
      <w:ind w:left="360" w:hanging="360"/>
    </w:pPr>
  </w:style>
  <w:style w:type="paragraph" w:styleId="EndnoteText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MapadoDocumento1">
    <w:name w:val="Mapa do Documento1"/>
    <w:basedOn w:val="Normal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</w:rPr>
  </w:style>
  <w:style w:type="paragraph" w:customStyle="1" w:styleId="ndicedeautoridades1">
    <w:name w:val="Índice de autoridades1"/>
    <w:basedOn w:val="Normal"/>
    <w:next w:val="Normal"/>
    <w:pPr>
      <w:spacing w:line="480" w:lineRule="auto"/>
      <w:jc w:val="both"/>
    </w:pPr>
    <w:rPr>
      <w:rFonts w:ascii="Times New Roman" w:hAnsi="Times New Roman" w:cs="Mangal"/>
      <w:szCs w:val="21"/>
    </w:rPr>
  </w:style>
  <w:style w:type="paragraph" w:styleId="TOC1">
    <w:name w:val="toc 1"/>
    <w:basedOn w:val="Normal"/>
    <w:next w:val="Normal"/>
    <w:autoRedefine/>
    <w:uiPriority w:val="39"/>
    <w:qFormat/>
    <w:rsid w:val="007D119C"/>
    <w:pPr>
      <w:tabs>
        <w:tab w:val="right" w:leader="dot" w:pos="9350"/>
      </w:tabs>
      <w:spacing w:line="480" w:lineRule="auto"/>
      <w:jc w:val="both"/>
    </w:pPr>
    <w:rPr>
      <w:rFonts w:ascii="Times New Roman" w:hAnsi="Times New Roman" w:cs="Times New Roman"/>
      <w:b/>
      <w:szCs w:val="21"/>
      <w:lang w:eastAsia="pt-BR"/>
    </w:rPr>
  </w:style>
  <w:style w:type="paragraph" w:customStyle="1" w:styleId="Ttulodendicedeautoridades1">
    <w:name w:val="Título de índice de autoridades1"/>
    <w:basedOn w:val="Normal"/>
    <w:next w:val="Normal"/>
    <w:pPr>
      <w:tabs>
        <w:tab w:val="right" w:leader="dot" w:pos="9350"/>
      </w:tabs>
      <w:spacing w:line="480" w:lineRule="auto"/>
      <w:jc w:val="both"/>
    </w:pPr>
    <w:rPr>
      <w:rFonts w:ascii="Times New Roman" w:eastAsia="Times New Roman" w:hAnsi="Times New Roman" w:cs="Mangal"/>
      <w:b/>
      <w:bCs/>
      <w:szCs w:val="21"/>
    </w:rPr>
  </w:style>
  <w:style w:type="paragraph" w:styleId="NoSpacing">
    <w:name w:val="No Spacing"/>
    <w:qFormat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rFonts w:cs="Mangal"/>
      <w:szCs w:val="21"/>
      <w:lang w:val="x-none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  <w:rPr>
      <w:rFonts w:cs="Mangal"/>
      <w:szCs w:val="21"/>
      <w:lang w:val="x-none"/>
    </w:rPr>
  </w:style>
  <w:style w:type="paragraph" w:styleId="TOC2">
    <w:name w:val="toc 2"/>
    <w:basedOn w:val="Normal"/>
    <w:next w:val="Normal"/>
    <w:autoRedefine/>
    <w:uiPriority w:val="39"/>
    <w:qFormat/>
    <w:rsid w:val="00900633"/>
    <w:pPr>
      <w:tabs>
        <w:tab w:val="left" w:pos="426"/>
        <w:tab w:val="right" w:leader="dot" w:pos="9350"/>
      </w:tabs>
      <w:spacing w:line="480" w:lineRule="auto"/>
      <w:jc w:val="both"/>
    </w:pPr>
    <w:rPr>
      <w:rFonts w:ascii="Times New Roman" w:hAnsi="Times New Roman" w:cs="Mangal"/>
      <w:szCs w:val="21"/>
    </w:rPr>
  </w:style>
  <w:style w:type="paragraph" w:styleId="TOC3">
    <w:name w:val="toc 3"/>
    <w:basedOn w:val="Normal"/>
    <w:next w:val="Normal"/>
    <w:autoRedefine/>
    <w:uiPriority w:val="39"/>
    <w:qFormat/>
    <w:rsid w:val="007D119C"/>
    <w:pPr>
      <w:tabs>
        <w:tab w:val="right" w:leader="dot" w:pos="9350"/>
      </w:tabs>
      <w:spacing w:line="480" w:lineRule="auto"/>
      <w:jc w:val="both"/>
    </w:pPr>
    <w:rPr>
      <w:rFonts w:ascii="Times New Roman" w:hAnsi="Times New Roman" w:cs="Mangal"/>
      <w:szCs w:val="21"/>
    </w:rPr>
  </w:style>
  <w:style w:type="paragraph" w:customStyle="1" w:styleId="WW-Notaderodap">
    <w:name w:val="WW-Nota de rodapé"/>
    <w:basedOn w:val="Normal"/>
    <w:pPr>
      <w:spacing w:after="200" w:line="276" w:lineRule="auto"/>
    </w:pPr>
  </w:style>
  <w:style w:type="paragraph" w:styleId="ListParagraph">
    <w:name w:val="List Paragraph"/>
    <w:basedOn w:val="Normal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customStyle="1" w:styleId="Corpodetexto31">
    <w:name w:val="Corpo de texto 31"/>
    <w:basedOn w:val="Normal"/>
    <w:pPr>
      <w:spacing w:after="120"/>
    </w:pPr>
    <w:rPr>
      <w:rFonts w:cs="Mangal"/>
      <w:sz w:val="16"/>
      <w:szCs w:val="1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cs="Mangal"/>
      <w:sz w:val="16"/>
      <w:szCs w:val="14"/>
    </w:rPr>
  </w:style>
  <w:style w:type="paragraph" w:customStyle="1" w:styleId="WW-Notaderodap1">
    <w:name w:val="WW-Nota de rodapé1"/>
    <w:basedOn w:val="Normal"/>
    <w:pPr>
      <w:spacing w:after="200" w:line="276" w:lineRule="auto"/>
    </w:p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TOC4">
    <w:name w:val="toc 4"/>
    <w:basedOn w:val="ndice"/>
    <w:pPr>
      <w:tabs>
        <w:tab w:val="right" w:leader="dot" w:pos="8789"/>
      </w:tabs>
      <w:ind w:left="849"/>
    </w:pPr>
  </w:style>
  <w:style w:type="paragraph" w:styleId="TOC5">
    <w:name w:val="toc 5"/>
    <w:basedOn w:val="ndice"/>
    <w:pPr>
      <w:tabs>
        <w:tab w:val="right" w:leader="dot" w:pos="8506"/>
      </w:tabs>
      <w:ind w:left="1132"/>
    </w:pPr>
  </w:style>
  <w:style w:type="paragraph" w:styleId="TOC6">
    <w:name w:val="toc 6"/>
    <w:basedOn w:val="ndice"/>
    <w:pPr>
      <w:tabs>
        <w:tab w:val="right" w:leader="dot" w:pos="8223"/>
      </w:tabs>
      <w:ind w:left="1415"/>
    </w:pPr>
  </w:style>
  <w:style w:type="paragraph" w:styleId="TOC7">
    <w:name w:val="toc 7"/>
    <w:basedOn w:val="ndice"/>
    <w:pPr>
      <w:tabs>
        <w:tab w:val="right" w:leader="dot" w:pos="7940"/>
      </w:tabs>
      <w:ind w:left="1698"/>
    </w:pPr>
  </w:style>
  <w:style w:type="paragraph" w:styleId="TOC8">
    <w:name w:val="toc 8"/>
    <w:basedOn w:val="ndice"/>
    <w:pPr>
      <w:tabs>
        <w:tab w:val="right" w:leader="dot" w:pos="7657"/>
      </w:tabs>
      <w:ind w:left="1981"/>
    </w:pPr>
  </w:style>
  <w:style w:type="paragraph" w:styleId="TOC9">
    <w:name w:val="toc 9"/>
    <w:basedOn w:val="ndice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pPr>
      <w:tabs>
        <w:tab w:val="right" w:leader="dot" w:pos="7091"/>
      </w:tabs>
      <w:ind w:left="2547"/>
    </w:pPr>
  </w:style>
  <w:style w:type="paragraph" w:styleId="DocumentMap">
    <w:name w:val="Document Map"/>
    <w:basedOn w:val="Normal"/>
    <w:link w:val="MapadoDocumentoChar1"/>
    <w:rsid w:val="00110C4D"/>
    <w:rPr>
      <w:rFonts w:ascii="Tahoma" w:hAnsi="Tahoma" w:cs="Mangal"/>
      <w:sz w:val="16"/>
      <w:szCs w:val="14"/>
    </w:rPr>
  </w:style>
  <w:style w:type="paragraph" w:styleId="TOAHeading">
    <w:name w:val="toa heading"/>
    <w:basedOn w:val="Normal"/>
    <w:next w:val="Normal"/>
    <w:autoRedefine/>
    <w:uiPriority w:val="99"/>
    <w:qFormat/>
    <w:rsid w:val="003E78E7"/>
    <w:pPr>
      <w:tabs>
        <w:tab w:val="right" w:leader="dot" w:pos="9350"/>
      </w:tabs>
      <w:spacing w:after="200" w:line="480" w:lineRule="auto"/>
      <w:jc w:val="both"/>
    </w:pPr>
    <w:rPr>
      <w:rFonts w:ascii="Times New Roman" w:eastAsia="Times New Roman" w:hAnsi="Times New Roman" w:cs="Mangal"/>
      <w:b/>
      <w:bCs/>
      <w:szCs w:val="21"/>
    </w:rPr>
  </w:style>
  <w:style w:type="paragraph" w:styleId="TableofAuthorities">
    <w:name w:val="table of authorities"/>
    <w:basedOn w:val="Normal"/>
    <w:next w:val="Normal"/>
    <w:autoRedefine/>
    <w:uiPriority w:val="99"/>
    <w:qFormat/>
    <w:rsid w:val="009771A3"/>
    <w:pPr>
      <w:spacing w:line="480" w:lineRule="auto"/>
      <w:jc w:val="both"/>
    </w:pPr>
    <w:rPr>
      <w:rFonts w:ascii="Times New Roman" w:hAnsi="Times New Roman" w:cs="Mangal"/>
      <w:szCs w:val="21"/>
    </w:rPr>
  </w:style>
  <w:style w:type="paragraph" w:styleId="Index1">
    <w:name w:val="index 1"/>
    <w:basedOn w:val="Normal"/>
    <w:next w:val="Normal"/>
    <w:link w:val="Remissivo1Char"/>
    <w:autoRedefine/>
    <w:qFormat/>
    <w:rsid w:val="00005661"/>
    <w:pPr>
      <w:spacing w:before="200" w:after="200" w:line="480" w:lineRule="auto"/>
      <w:jc w:val="both"/>
      <w:outlineLvl w:val="0"/>
    </w:pPr>
    <w:rPr>
      <w:rFonts w:ascii="Times New Roman" w:hAnsi="Times New Roman" w:cs="Mangal"/>
      <w:b/>
      <w:szCs w:val="21"/>
    </w:rPr>
  </w:style>
  <w:style w:type="paragraph" w:styleId="Index2">
    <w:name w:val="index 2"/>
    <w:basedOn w:val="Normal"/>
    <w:next w:val="Normal"/>
    <w:link w:val="Remissivo2Char"/>
    <w:autoRedefine/>
    <w:qFormat/>
    <w:rsid w:val="00110C4D"/>
    <w:pPr>
      <w:spacing w:line="480" w:lineRule="auto"/>
      <w:jc w:val="both"/>
    </w:pPr>
    <w:rPr>
      <w:rFonts w:ascii="Times New Roman" w:hAnsi="Times New Roman" w:cs="Mangal"/>
      <w:szCs w:val="21"/>
    </w:rPr>
  </w:style>
  <w:style w:type="paragraph" w:styleId="Index3">
    <w:name w:val="index 3"/>
    <w:basedOn w:val="Normal"/>
    <w:next w:val="Normal"/>
    <w:link w:val="Remissivo3Char"/>
    <w:autoRedefine/>
    <w:qFormat/>
    <w:rsid w:val="00005661"/>
    <w:pPr>
      <w:spacing w:before="200" w:after="200" w:line="480" w:lineRule="auto"/>
      <w:jc w:val="both"/>
      <w:outlineLvl w:val="0"/>
    </w:pPr>
    <w:rPr>
      <w:rFonts w:ascii="Times New Roman" w:hAnsi="Times New Roman" w:cs="Mangal"/>
      <w:szCs w:val="21"/>
    </w:rPr>
  </w:style>
  <w:style w:type="character" w:customStyle="1" w:styleId="MapadoDocumentoChar1">
    <w:name w:val="Mapa do Documento Char1"/>
    <w:basedOn w:val="DefaultParagraphFont"/>
    <w:link w:val="DocumentMap"/>
    <w:rsid w:val="00110C4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Title">
    <w:name w:val="Title"/>
    <w:basedOn w:val="Normal"/>
    <w:next w:val="Normal"/>
    <w:link w:val="TtuloChar"/>
    <w:qFormat/>
    <w:rsid w:val="00005661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TtuloChar">
    <w:name w:val="Título Char"/>
    <w:basedOn w:val="DefaultParagraphFont"/>
    <w:link w:val="Title"/>
    <w:rsid w:val="00005661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Estilo2">
    <w:name w:val="Estilo2"/>
    <w:basedOn w:val="Index2"/>
    <w:link w:val="Estilo2Char"/>
    <w:qFormat/>
    <w:rsid w:val="00005661"/>
  </w:style>
  <w:style w:type="paragraph" w:customStyle="1" w:styleId="Estilo20">
    <w:name w:val="Estilo 2"/>
    <w:basedOn w:val="Estilo2"/>
    <w:link w:val="Estilo2Char0"/>
    <w:qFormat/>
    <w:rsid w:val="00005661"/>
    <w:pPr>
      <w:spacing w:before="200" w:after="200"/>
    </w:pPr>
  </w:style>
  <w:style w:type="character" w:customStyle="1" w:styleId="Remissivo2Char">
    <w:name w:val="Remissivo 2 Char"/>
    <w:basedOn w:val="DefaultParagraphFont"/>
    <w:link w:val="Index2"/>
    <w:rsid w:val="00005661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Estilo2Char">
    <w:name w:val="Estilo2 Char"/>
    <w:basedOn w:val="Remissivo2Char"/>
    <w:link w:val="Estilo2"/>
    <w:rsid w:val="00005661"/>
    <w:rPr>
      <w:rFonts w:eastAsia="DejaVu Sans" w:cs="Mangal"/>
      <w:kern w:val="1"/>
      <w:sz w:val="24"/>
      <w:szCs w:val="21"/>
      <w:lang w:eastAsia="zh-CN" w:bidi="hi-IN"/>
    </w:rPr>
  </w:style>
  <w:style w:type="paragraph" w:customStyle="1" w:styleId="Estilo3">
    <w:name w:val="Estilo 3"/>
    <w:basedOn w:val="Index3"/>
    <w:link w:val="Estilo3Char"/>
    <w:qFormat/>
    <w:rsid w:val="00005661"/>
  </w:style>
  <w:style w:type="character" w:customStyle="1" w:styleId="Estilo2Char0">
    <w:name w:val="Estilo 2 Char"/>
    <w:basedOn w:val="Estilo2Char"/>
    <w:link w:val="Estilo20"/>
    <w:rsid w:val="00005661"/>
    <w:rPr>
      <w:rFonts w:eastAsia="DejaVu Sans" w:cs="Mangal"/>
      <w:kern w:val="1"/>
      <w:sz w:val="24"/>
      <w:szCs w:val="21"/>
      <w:lang w:eastAsia="zh-CN" w:bidi="hi-IN"/>
    </w:rPr>
  </w:style>
  <w:style w:type="paragraph" w:customStyle="1" w:styleId="Estilo1">
    <w:name w:val="Estilo1"/>
    <w:basedOn w:val="Index1"/>
    <w:link w:val="Estilo1Char"/>
    <w:qFormat/>
    <w:rsid w:val="00005661"/>
  </w:style>
  <w:style w:type="character" w:customStyle="1" w:styleId="Remissivo3Char">
    <w:name w:val="Remissivo 3 Char"/>
    <w:basedOn w:val="DefaultParagraphFont"/>
    <w:link w:val="Index3"/>
    <w:rsid w:val="00005661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Estilo3Char">
    <w:name w:val="Estilo 3 Char"/>
    <w:basedOn w:val="Remissivo3Char"/>
    <w:link w:val="Estilo3"/>
    <w:rsid w:val="00005661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Remissivo1Char">
    <w:name w:val="Remissivo 1 Char"/>
    <w:basedOn w:val="DefaultParagraphFont"/>
    <w:link w:val="Index1"/>
    <w:rsid w:val="00005661"/>
    <w:rPr>
      <w:rFonts w:eastAsia="DejaVu Sans" w:cs="Mangal"/>
      <w:b/>
      <w:kern w:val="1"/>
      <w:sz w:val="24"/>
      <w:szCs w:val="21"/>
      <w:lang w:eastAsia="zh-CN" w:bidi="hi-IN"/>
    </w:rPr>
  </w:style>
  <w:style w:type="character" w:customStyle="1" w:styleId="Estilo1Char">
    <w:name w:val="Estilo1 Char"/>
    <w:basedOn w:val="Remissivo1Char"/>
    <w:link w:val="Estilo1"/>
    <w:rsid w:val="00005661"/>
    <w:rPr>
      <w:rFonts w:eastAsia="DejaVu Sans" w:cs="Mangal"/>
      <w:b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CD25-2E23-4EE1-9386-C8C18A2C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7664</Words>
  <Characters>43686</Characters>
  <Application>Microsoft Office Word</Application>
  <DocSecurity>0</DocSecurity>
  <Lines>364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Caso Cristal Tovar v República Democrática de Exclutia</vt:lpstr>
      <vt:lpstr>Caso Cristal Tovar v República Democrática de Exclutia</vt:lpstr>
    </vt:vector>
  </TitlesOfParts>
  <Company>176</Company>
  <LinksUpToDate>false</LinksUpToDate>
  <CharactersWithSpaces>51248</CharactersWithSpaces>
  <SharedDoc>false</SharedDoc>
  <HLinks>
    <vt:vector size="90" baseType="variant"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_Toc383375048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_Toc383375047</vt:lpwstr>
      </vt:variant>
      <vt:variant>
        <vt:i4>1900599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_Toc383375046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_Toc383375045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_Toc383375044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_Toc383375043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_Toc383375042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_Toc383375041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_Toc383375040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_Toc383375039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_Toc383375038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_Toc383375037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_Toc383375036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_Toc383375035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_Toc383375034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 Cristal Tovar v República Democrática de Exclutia</dc:title>
  <dc:creator>176</dc:creator>
  <dc:description>MEMORIAL DOS REPRESENTANTES DAS VÍTIMAS</dc:description>
  <cp:lastModifiedBy>Inter-American HR Moot Court Competition</cp:lastModifiedBy>
  <cp:revision>2</cp:revision>
  <cp:lastPrinted>2014-03-24T11:15:00Z</cp:lastPrinted>
  <dcterms:created xsi:type="dcterms:W3CDTF">2017-09-21T15:57:00Z</dcterms:created>
  <dcterms:modified xsi:type="dcterms:W3CDTF">2017-09-21T15:57:00Z</dcterms:modified>
</cp:coreProperties>
</file>